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
        <w:ind w:left="100" w:right="0" w:firstLine="0"/>
        <w:jc w:val="center"/>
        <w:rPr>
          <w:b/>
          <w:bCs/>
          <w:sz w:val="72"/>
          <w:szCs w:val="72"/>
        </w:rPr>
      </w:pPr>
      <w:bookmarkStart w:id="0" w:name="_GoBack"/>
      <w:r>
        <w:rPr>
          <w:b/>
          <w:bCs/>
          <w:sz w:val="72"/>
          <w:szCs w:val="72"/>
        </w:rPr>
        <w:t>厂内运输安全管理协议</w:t>
      </w:r>
    </w:p>
    <w:bookmarkEnd w:id="0"/>
    <w:p>
      <w:pPr>
        <w:pStyle w:val="2"/>
        <w:rPr>
          <w:sz w:val="52"/>
        </w:rPr>
      </w:pPr>
    </w:p>
    <w:p>
      <w:pPr>
        <w:pStyle w:val="2"/>
        <w:tabs>
          <w:tab w:val="left" w:pos="8039"/>
        </w:tabs>
        <w:spacing w:before="404"/>
        <w:ind w:left="100"/>
      </w:pPr>
      <w:r>
        <w:drawing>
          <wp:anchor distT="0" distB="0" distL="0" distR="0" simplePos="0" relativeHeight="251485184" behindDoc="1" locked="0" layoutInCell="1" allowOverlap="1">
            <wp:simplePos x="0" y="0"/>
            <wp:positionH relativeFrom="page">
              <wp:posOffset>2317750</wp:posOffset>
            </wp:positionH>
            <wp:positionV relativeFrom="paragraph">
              <wp:posOffset>535305</wp:posOffset>
            </wp:positionV>
            <wp:extent cx="6840220" cy="111467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4" cstate="print"/>
                    <a:stretch>
                      <a:fillRect/>
                    </a:stretch>
                  </pic:blipFill>
                  <pic:spPr>
                    <a:xfrm>
                      <a:off x="0" y="0"/>
                      <a:ext cx="6839999" cy="11146666"/>
                    </a:xfrm>
                    <a:prstGeom prst="rect">
                      <a:avLst/>
                    </a:prstGeom>
                  </pic:spPr>
                </pic:pic>
              </a:graphicData>
            </a:graphic>
          </wp:anchor>
        </w:drawing>
      </w:r>
      <w:r>
        <w:t>运输发包单位：</w:t>
      </w:r>
      <w:r>
        <w:tab/>
      </w:r>
      <w:r>
        <w:t>（以下简称甲方）</w:t>
      </w:r>
    </w:p>
    <w:p>
      <w:pPr>
        <w:pStyle w:val="2"/>
        <w:tabs>
          <w:tab w:val="left" w:pos="8039"/>
        </w:tabs>
        <w:spacing w:before="219"/>
        <w:ind w:left="100"/>
      </w:pPr>
      <w:r>
        <w:t>运输承包单位：</w:t>
      </w:r>
      <w:r>
        <w:tab/>
      </w:r>
      <w:r>
        <w:t>（以下简称乙方）</w:t>
      </w:r>
    </w:p>
    <w:p>
      <w:pPr>
        <w:pStyle w:val="2"/>
        <w:rPr>
          <w:sz w:val="40"/>
        </w:rPr>
      </w:pPr>
    </w:p>
    <w:p>
      <w:pPr>
        <w:pStyle w:val="2"/>
        <w:spacing w:before="7"/>
        <w:rPr>
          <w:sz w:val="28"/>
        </w:rPr>
      </w:pPr>
    </w:p>
    <w:p>
      <w:pPr>
        <w:pStyle w:val="2"/>
        <w:tabs>
          <w:tab w:val="left" w:pos="10719"/>
        </w:tabs>
        <w:ind w:left="880"/>
      </w:pPr>
      <w:r>
        <w:t>乙方为完成甲方的</w:t>
      </w:r>
      <w:r>
        <w:tab/>
      </w:r>
      <w:r>
        <w:t>（运输、服务项目</w:t>
      </w:r>
      <w:r>
        <w:rPr>
          <w:spacing w:val="20"/>
        </w:rPr>
        <w:t>），</w:t>
      </w:r>
    </w:p>
    <w:p>
      <w:pPr>
        <w:pStyle w:val="2"/>
        <w:spacing w:before="219" w:line="352" w:lineRule="auto"/>
        <w:ind w:left="100" w:right="1179"/>
      </w:pPr>
      <w:r>
        <w:t>需经常在甲方的区域范围内从事运输作业。为保证甲方区域范围内的车辆运输安全， 以及乙方生产、服务工作的顺利完成，明确甲、乙双方在车辆运输安全管理方面的职</w:t>
      </w:r>
    </w:p>
    <w:p>
      <w:pPr>
        <w:pStyle w:val="2"/>
        <w:tabs>
          <w:tab w:val="left" w:pos="12599"/>
        </w:tabs>
        <w:spacing w:line="445" w:lineRule="exact"/>
        <w:ind w:left="100"/>
      </w:pPr>
      <w:r>
        <w:t>责，本着“谁主管，谁负责”的原则，依据《中华人民共和国安全生产法》</w:t>
      </w:r>
      <w:r>
        <w:tab/>
      </w:r>
      <w:r>
        <w:rPr>
          <w:spacing w:val="-180"/>
        </w:rPr>
        <w:t>、</w:t>
      </w:r>
      <w:r>
        <w:t>《工业企</w:t>
      </w:r>
    </w:p>
    <w:p>
      <w:pPr>
        <w:pStyle w:val="2"/>
        <w:tabs>
          <w:tab w:val="left" w:pos="3579"/>
        </w:tabs>
        <w:spacing w:before="239" w:line="343" w:lineRule="auto"/>
        <w:ind w:left="100" w:right="319"/>
      </w:pPr>
      <w:r>
        <w:t>业</w:t>
      </w:r>
      <w:r>
        <w:rPr>
          <w:spacing w:val="-60"/>
        </w:rPr>
        <w:t xml:space="preserve"> </w:t>
      </w:r>
      <w:r>
        <w:rPr>
          <w:spacing w:val="80"/>
        </w:rPr>
        <w:t>厂</w:t>
      </w:r>
      <w:r>
        <w:t>内</w:t>
      </w:r>
      <w:r>
        <w:rPr>
          <w:spacing w:val="-60"/>
        </w:rPr>
        <w:t xml:space="preserve"> </w:t>
      </w:r>
      <w:r>
        <w:t>运</w:t>
      </w:r>
      <w:r>
        <w:rPr>
          <w:spacing w:val="-80"/>
        </w:rPr>
        <w:t xml:space="preserve"> </w:t>
      </w:r>
      <w:r>
        <w:t>输</w:t>
      </w:r>
      <w:r>
        <w:rPr>
          <w:spacing w:val="-80"/>
        </w:rPr>
        <w:t xml:space="preserve"> </w:t>
      </w:r>
      <w:r>
        <w:t>安</w:t>
      </w:r>
      <w:r>
        <w:rPr>
          <w:spacing w:val="-80"/>
        </w:rPr>
        <w:t xml:space="preserve"> </w:t>
      </w:r>
      <w:r>
        <w:t>全</w:t>
      </w:r>
      <w:r>
        <w:rPr>
          <w:spacing w:val="-80"/>
        </w:rPr>
        <w:t xml:space="preserve"> </w:t>
      </w:r>
      <w:r>
        <w:t>规</w:t>
      </w:r>
      <w:r>
        <w:rPr>
          <w:spacing w:val="-80"/>
        </w:rPr>
        <w:t xml:space="preserve"> </w:t>
      </w:r>
      <w:r>
        <w:t>程</w:t>
      </w:r>
      <w:r>
        <w:rPr>
          <w:spacing w:val="-80"/>
        </w:rPr>
        <w:t xml:space="preserve"> </w:t>
      </w:r>
      <w:r>
        <w:t>》</w:t>
      </w:r>
      <w:r>
        <w:rPr>
          <w:spacing w:val="-80"/>
        </w:rPr>
        <w:t xml:space="preserve"> </w:t>
      </w:r>
      <w:r>
        <w:rPr>
          <w:spacing w:val="80"/>
        </w:rPr>
        <w:t>等</w:t>
      </w:r>
      <w:r>
        <w:t>国</w:t>
      </w:r>
      <w:r>
        <w:rPr>
          <w:spacing w:val="-60"/>
        </w:rPr>
        <w:t xml:space="preserve"> </w:t>
      </w:r>
      <w:r>
        <w:t>家</w:t>
      </w:r>
      <w:r>
        <w:rPr>
          <w:spacing w:val="-80"/>
        </w:rPr>
        <w:t xml:space="preserve"> </w:t>
      </w:r>
      <w:r>
        <w:t>有</w:t>
      </w:r>
      <w:r>
        <w:rPr>
          <w:spacing w:val="-80"/>
        </w:rPr>
        <w:t xml:space="preserve"> </w:t>
      </w:r>
      <w:r>
        <w:t>关</w:t>
      </w:r>
      <w:r>
        <w:rPr>
          <w:spacing w:val="-80"/>
        </w:rPr>
        <w:t xml:space="preserve"> </w:t>
      </w:r>
      <w:r>
        <w:t>规</w:t>
      </w:r>
      <w:r>
        <w:rPr>
          <w:spacing w:val="-80"/>
        </w:rPr>
        <w:t xml:space="preserve"> </w:t>
      </w:r>
      <w:r>
        <w:t>定</w:t>
      </w:r>
      <w:r>
        <w:rPr>
          <w:spacing w:val="-80"/>
        </w:rPr>
        <w:t xml:space="preserve"> </w:t>
      </w:r>
      <w:r>
        <w:t>，</w:t>
      </w:r>
      <w:r>
        <w:rPr>
          <w:spacing w:val="-80"/>
        </w:rPr>
        <w:t xml:space="preserve"> </w:t>
      </w:r>
      <w:r>
        <w:t>双</w:t>
      </w:r>
      <w:r>
        <w:rPr>
          <w:spacing w:val="-80"/>
        </w:rPr>
        <w:t xml:space="preserve"> </w:t>
      </w:r>
      <w:r>
        <w:t>方</w:t>
      </w:r>
      <w:r>
        <w:rPr>
          <w:spacing w:val="-60"/>
        </w:rPr>
        <w:t xml:space="preserve"> </w:t>
      </w:r>
      <w:r>
        <w:rPr>
          <w:spacing w:val="80"/>
        </w:rPr>
        <w:t>在</w:t>
      </w:r>
      <w:r>
        <w:t>签</w:t>
      </w:r>
      <w:r>
        <w:rPr>
          <w:spacing w:val="-60"/>
        </w:rPr>
        <w:t xml:space="preserve"> </w:t>
      </w:r>
      <w:r>
        <w:rPr>
          <w:spacing w:val="80"/>
        </w:rPr>
        <w:t>订</w:t>
      </w:r>
      <w:r>
        <w:t>经</w:t>
      </w:r>
      <w:r>
        <w:rPr>
          <w:spacing w:val="-60"/>
        </w:rPr>
        <w:t xml:space="preserve"> </w:t>
      </w:r>
      <w:r>
        <w:rPr>
          <w:spacing w:val="80"/>
        </w:rPr>
        <w:t>济</w:t>
      </w:r>
      <w:r>
        <w:t>合</w:t>
      </w:r>
      <w:r>
        <w:rPr>
          <w:spacing w:val="-80"/>
        </w:rPr>
        <w:t xml:space="preserve"> </w:t>
      </w:r>
      <w:r>
        <w:t>同</w:t>
      </w:r>
      <w:r>
        <w:rPr>
          <w:spacing w:val="-80"/>
        </w:rPr>
        <w:t xml:space="preserve"> </w:t>
      </w:r>
      <w:r>
        <w:t>等</w:t>
      </w:r>
      <w:r>
        <w:rPr>
          <w:spacing w:val="-80"/>
        </w:rPr>
        <w:t xml:space="preserve"> </w:t>
      </w:r>
      <w:r>
        <w:t>（</w:t>
      </w:r>
      <w:r>
        <w:rPr>
          <w:spacing w:val="-60"/>
        </w:rPr>
        <w:t xml:space="preserve"> </w:t>
      </w:r>
      <w:r>
        <w:rPr>
          <w:spacing w:val="80"/>
        </w:rPr>
        <w:t>合</w:t>
      </w:r>
      <w:r>
        <w:rPr>
          <w:spacing w:val="-19"/>
        </w:rPr>
        <w:t>同</w:t>
      </w:r>
      <w:r>
        <w:t>号：</w:t>
      </w:r>
      <w:r>
        <w:tab/>
      </w:r>
      <w:r>
        <w:t>）的同时，签订本协议。</w:t>
      </w:r>
    </w:p>
    <w:p>
      <w:pPr>
        <w:pStyle w:val="2"/>
        <w:spacing w:before="1"/>
        <w:rPr>
          <w:sz w:val="53"/>
        </w:rPr>
      </w:pPr>
    </w:p>
    <w:p>
      <w:pPr>
        <w:pStyle w:val="2"/>
        <w:spacing w:before="1"/>
        <w:ind w:left="100"/>
      </w:pPr>
      <w:r>
        <w:t>一、承包服务项目名称</w:t>
      </w:r>
    </w:p>
    <w:p>
      <w:pPr>
        <w:pStyle w:val="6"/>
        <w:numPr>
          <w:ilvl w:val="0"/>
          <w:numId w:val="1"/>
        </w:numPr>
        <w:tabs>
          <w:tab w:val="left" w:pos="680"/>
          <w:tab w:val="left" w:pos="9759"/>
        </w:tabs>
        <w:spacing w:before="238" w:after="0" w:line="240" w:lineRule="auto"/>
        <w:ind w:left="680" w:right="0" w:hanging="380"/>
        <w:jc w:val="left"/>
        <w:rPr>
          <w:sz w:val="36"/>
        </w:rPr>
      </w:pPr>
      <w:r>
        <w:rPr>
          <w:sz w:val="36"/>
        </w:rPr>
        <w:t>．运输作业项目名称：</w:t>
      </w:r>
      <w:r>
        <w:rPr>
          <w:sz w:val="36"/>
        </w:rPr>
        <w:tab/>
      </w:r>
      <w:r>
        <w:rPr>
          <w:sz w:val="36"/>
        </w:rPr>
        <w:t>；</w:t>
      </w:r>
    </w:p>
    <w:p>
      <w:pPr>
        <w:pStyle w:val="6"/>
        <w:numPr>
          <w:ilvl w:val="0"/>
          <w:numId w:val="1"/>
        </w:numPr>
        <w:tabs>
          <w:tab w:val="left" w:pos="680"/>
          <w:tab w:val="left" w:pos="8979"/>
        </w:tabs>
        <w:spacing w:before="199" w:after="0" w:line="240" w:lineRule="auto"/>
        <w:ind w:left="680" w:right="0" w:hanging="380"/>
        <w:jc w:val="left"/>
        <w:rPr>
          <w:sz w:val="36"/>
        </w:rPr>
      </w:pPr>
      <w:r>
        <w:rPr>
          <w:sz w:val="36"/>
        </w:rPr>
        <w:t>．作业地址：</w:t>
      </w:r>
      <w:r>
        <w:rPr>
          <w:sz w:val="36"/>
        </w:rPr>
        <w:tab/>
      </w:r>
      <w:r>
        <w:rPr>
          <w:sz w:val="36"/>
        </w:rPr>
        <w:t>；</w:t>
      </w:r>
    </w:p>
    <w:p>
      <w:pPr>
        <w:pStyle w:val="6"/>
        <w:numPr>
          <w:ilvl w:val="0"/>
          <w:numId w:val="1"/>
        </w:numPr>
        <w:tabs>
          <w:tab w:val="left" w:pos="680"/>
          <w:tab w:val="left" w:pos="8219"/>
        </w:tabs>
        <w:spacing w:before="219" w:after="0" w:line="240" w:lineRule="auto"/>
        <w:ind w:left="680" w:right="0" w:hanging="380"/>
        <w:jc w:val="left"/>
        <w:rPr>
          <w:sz w:val="36"/>
        </w:rPr>
      </w:pPr>
      <w:r>
        <w:rPr>
          <w:sz w:val="36"/>
        </w:rPr>
        <w:t>．作业区域：</w:t>
      </w:r>
      <w:r>
        <w:rPr>
          <w:sz w:val="36"/>
        </w:rPr>
        <w:tab/>
      </w:r>
      <w:r>
        <w:rPr>
          <w:sz w:val="36"/>
        </w:rPr>
        <w:t>；</w:t>
      </w:r>
    </w:p>
    <w:p>
      <w:pPr>
        <w:pStyle w:val="2"/>
        <w:rPr>
          <w:sz w:val="42"/>
        </w:rPr>
      </w:pPr>
    </w:p>
    <w:p>
      <w:pPr>
        <w:pStyle w:val="2"/>
        <w:spacing w:before="360"/>
        <w:ind w:left="100"/>
      </w:pPr>
      <w:r>
        <w:t>二、合同期限</w:t>
      </w:r>
    </w:p>
    <w:p>
      <w:pPr>
        <w:pStyle w:val="2"/>
        <w:tabs>
          <w:tab w:val="left" w:pos="3379"/>
          <w:tab w:val="left" w:pos="4739"/>
          <w:tab w:val="left" w:pos="6099"/>
          <w:tab w:val="left" w:pos="8979"/>
          <w:tab w:val="left" w:pos="10539"/>
          <w:tab w:val="left" w:pos="11879"/>
        </w:tabs>
        <w:spacing w:before="199"/>
        <w:ind w:left="1080"/>
      </w:pPr>
      <w:r>
        <w:t>自</w:t>
      </w:r>
      <w:r>
        <w:tab/>
      </w:r>
      <w:r>
        <w:t>年</w:t>
      </w:r>
      <w:r>
        <w:tab/>
      </w:r>
      <w:r>
        <w:t>月</w:t>
      </w:r>
      <w:r>
        <w:tab/>
      </w:r>
      <w:r>
        <w:t>日</w:t>
      </w:r>
      <w:r>
        <w:rPr>
          <w:spacing w:val="40"/>
        </w:rPr>
        <w:t xml:space="preserve"> </w:t>
      </w:r>
      <w:r>
        <w:t>至</w:t>
      </w:r>
      <w:r>
        <w:tab/>
      </w:r>
      <w:r>
        <w:t>年</w:t>
      </w:r>
      <w:r>
        <w:tab/>
      </w:r>
      <w:r>
        <w:t>月</w:t>
      </w:r>
      <w:r>
        <w:tab/>
      </w:r>
      <w:r>
        <w:t>日</w:t>
      </w:r>
      <w:r>
        <w:rPr>
          <w:spacing w:val="40"/>
        </w:rPr>
        <w:t xml:space="preserve"> </w:t>
      </w:r>
      <w:r>
        <w:t>止。</w:t>
      </w:r>
    </w:p>
    <w:p>
      <w:pPr>
        <w:pStyle w:val="2"/>
        <w:rPr>
          <w:sz w:val="40"/>
        </w:rPr>
      </w:pPr>
    </w:p>
    <w:p>
      <w:pPr>
        <w:pStyle w:val="2"/>
        <w:spacing w:before="2"/>
        <w:rPr>
          <w:sz w:val="30"/>
        </w:rPr>
      </w:pPr>
    </w:p>
    <w:p>
      <w:pPr>
        <w:pStyle w:val="2"/>
        <w:ind w:left="100"/>
      </w:pPr>
      <w:r>
        <w:t>三、协议内容</w:t>
      </w:r>
    </w:p>
    <w:p>
      <w:pPr>
        <w:pStyle w:val="6"/>
        <w:numPr>
          <w:ilvl w:val="1"/>
          <w:numId w:val="1"/>
        </w:numPr>
        <w:tabs>
          <w:tab w:val="left" w:pos="1100"/>
        </w:tabs>
        <w:spacing w:before="219" w:after="0" w:line="350" w:lineRule="auto"/>
        <w:ind w:left="1100" w:right="1259" w:hanging="660"/>
        <w:jc w:val="both"/>
        <w:rPr>
          <w:sz w:val="36"/>
        </w:rPr>
      </w:pPr>
      <w:r>
        <w:rPr>
          <w:spacing w:val="-1"/>
          <w:sz w:val="36"/>
        </w:rPr>
        <w:t>乙方在甲方区域范围内从事运输作业过程中，必须遵守国家的法律、法规以及甲方的各项规章制度，具备所从事业务法定的相关安全资质和基本的安全生产条件，服从甲方的统一协调和管理，对所从事运输作业的安全、消防、治安管</w:t>
      </w:r>
      <w:r>
        <w:rPr>
          <w:sz w:val="36"/>
        </w:rPr>
        <w:t>理负全面的责任。</w:t>
      </w:r>
    </w:p>
    <w:p>
      <w:pPr>
        <w:pStyle w:val="6"/>
        <w:numPr>
          <w:ilvl w:val="1"/>
          <w:numId w:val="1"/>
        </w:numPr>
        <w:tabs>
          <w:tab w:val="left" w:pos="1100"/>
        </w:tabs>
        <w:spacing w:before="6" w:after="0" w:line="240" w:lineRule="auto"/>
        <w:ind w:left="1100" w:right="0" w:hanging="660"/>
        <w:jc w:val="both"/>
        <w:rPr>
          <w:sz w:val="36"/>
        </w:rPr>
      </w:pPr>
      <w:r>
        <w:rPr>
          <w:sz w:val="36"/>
        </w:rPr>
        <w:t>乙方在甲方区域范围从事运输作业，应建立有效的安全管理组织，须指定专职</w:t>
      </w:r>
    </w:p>
    <w:p>
      <w:pPr>
        <w:pStyle w:val="2"/>
        <w:tabs>
          <w:tab w:val="left" w:pos="5919"/>
        </w:tabs>
        <w:spacing w:before="219" w:line="352" w:lineRule="auto"/>
        <w:ind w:left="1100" w:right="319"/>
        <w:jc w:val="both"/>
      </w:pPr>
      <w:r>
        <w:t>或兼职的安全干部</w:t>
      </w:r>
      <w:r>
        <w:tab/>
      </w:r>
      <w:r>
        <w:t>负责进入进行运输作业的日常安全管理工作，</w:t>
      </w:r>
      <w:r>
        <w:rPr>
          <w:spacing w:val="80"/>
        </w:rPr>
        <w:t xml:space="preserve"> </w:t>
      </w:r>
      <w:r>
        <w:t>做</w:t>
      </w:r>
      <w:r>
        <w:rPr>
          <w:spacing w:val="-18"/>
        </w:rPr>
        <w:t>好</w:t>
      </w:r>
      <w:r>
        <w:t>与甲方相关部门的安全协调工作。</w:t>
      </w:r>
    </w:p>
    <w:p>
      <w:pPr>
        <w:pStyle w:val="6"/>
        <w:numPr>
          <w:ilvl w:val="1"/>
          <w:numId w:val="1"/>
        </w:numPr>
        <w:tabs>
          <w:tab w:val="left" w:pos="1100"/>
          <w:tab w:val="left" w:pos="5139"/>
        </w:tabs>
        <w:spacing w:before="0" w:after="0" w:line="445" w:lineRule="exact"/>
        <w:ind w:left="1100" w:right="0" w:hanging="660"/>
        <w:jc w:val="both"/>
        <w:rPr>
          <w:sz w:val="36"/>
        </w:rPr>
      </w:pPr>
      <w:r>
        <w:rPr>
          <w:sz w:val="36"/>
        </w:rPr>
        <w:t>甲方指派</w:t>
      </w:r>
      <w:r>
        <w:rPr>
          <w:sz w:val="36"/>
        </w:rPr>
        <w:tab/>
      </w:r>
      <w:r>
        <w:rPr>
          <w:sz w:val="36"/>
        </w:rPr>
        <w:t>负责协调、检查、督促乙方执行有关安全规定等事宜。</w:t>
      </w:r>
    </w:p>
    <w:p>
      <w:pPr>
        <w:pStyle w:val="2"/>
        <w:spacing w:before="219" w:line="352" w:lineRule="auto"/>
        <w:ind w:left="1100" w:right="1259"/>
      </w:pPr>
      <w:r>
        <w:t>甲、乙双方应经常保持联系，互相协助检查、协调、处理运输作业中有关安全工作，共同预防事故发生。</w:t>
      </w:r>
    </w:p>
    <w:p>
      <w:pPr>
        <w:pStyle w:val="6"/>
        <w:numPr>
          <w:ilvl w:val="1"/>
          <w:numId w:val="1"/>
        </w:numPr>
        <w:tabs>
          <w:tab w:val="left" w:pos="1100"/>
        </w:tabs>
        <w:spacing w:before="4" w:after="0" w:line="352" w:lineRule="auto"/>
        <w:ind w:left="1100" w:right="1259" w:hanging="660"/>
        <w:jc w:val="both"/>
        <w:rPr>
          <w:sz w:val="36"/>
        </w:rPr>
      </w:pPr>
      <w:r>
        <w:rPr>
          <w:spacing w:val="-1"/>
          <w:sz w:val="36"/>
        </w:rPr>
        <w:t>乙方应根据所承接的运输作业内容，结合作业的实际情况，编制合理的安全管理规定和安全作业规程，在开始履行合同前交甲方业务主管部门备案。甲方应</w:t>
      </w:r>
      <w:r>
        <w:rPr>
          <w:sz w:val="36"/>
        </w:rPr>
        <w:t>将本单位的相关安全管理规定告之乙方。</w:t>
      </w:r>
    </w:p>
    <w:p>
      <w:pPr>
        <w:spacing w:after="0" w:line="352" w:lineRule="auto"/>
        <w:jc w:val="both"/>
        <w:rPr>
          <w:sz w:val="36"/>
        </w:rPr>
        <w:sectPr>
          <w:type w:val="continuous"/>
          <w:pgSz w:w="19120" w:h="27060"/>
          <w:pgMar w:top="2180" w:right="1760" w:bottom="280" w:left="2760" w:header="720" w:footer="720" w:gutter="0"/>
        </w:sectPr>
      </w:pPr>
    </w:p>
    <w:p>
      <w:pPr>
        <w:pStyle w:val="6"/>
        <w:numPr>
          <w:ilvl w:val="1"/>
          <w:numId w:val="1"/>
        </w:numPr>
        <w:tabs>
          <w:tab w:val="left" w:pos="1100"/>
        </w:tabs>
        <w:spacing w:before="40" w:after="0" w:line="352" w:lineRule="auto"/>
        <w:ind w:left="1100" w:right="1259" w:hanging="660"/>
        <w:jc w:val="both"/>
        <w:rPr>
          <w:sz w:val="36"/>
        </w:rPr>
      </w:pPr>
      <w:r>
        <w:rPr>
          <w:spacing w:val="-1"/>
          <w:sz w:val="36"/>
        </w:rPr>
        <w:t>乙方负责对进入甲方作业的所有人员进行作业前以及日常经常性的安全教育， 确保进入甲方作业的人员充分了解甲方有关安全方面的规定，以及乙方制定的相关安全管理规定和安全作业规程，并检查、督促员工安全作业。安全教育和</w:t>
      </w:r>
      <w:r>
        <w:rPr>
          <w:sz w:val="36"/>
        </w:rPr>
        <w:t>安全检查记录必须记录备案。</w:t>
      </w:r>
    </w:p>
    <w:p>
      <w:pPr>
        <w:pStyle w:val="6"/>
        <w:numPr>
          <w:ilvl w:val="1"/>
          <w:numId w:val="1"/>
        </w:numPr>
        <w:tabs>
          <w:tab w:val="left" w:pos="1100"/>
        </w:tabs>
        <w:spacing w:before="8" w:after="0" w:line="352" w:lineRule="auto"/>
        <w:ind w:left="1100" w:right="1259" w:hanging="660"/>
        <w:jc w:val="both"/>
        <w:rPr>
          <w:sz w:val="36"/>
        </w:rPr>
      </w:pPr>
      <w:r>
        <w:rPr>
          <w:spacing w:val="-1"/>
          <w:sz w:val="36"/>
        </w:rPr>
        <w:t>甲方或甲方人员不得指派乙方人员从事合同外的服务作业，乙方有权拒绝合同外的服务作业，由于乙方拒绝提供合同外的服务而造成的一切后果不追究乙方责任；若乙方接受提供合同外的服务，由此在服务过程中造成的一切后果由乙</w:t>
      </w:r>
      <w:r>
        <w:rPr>
          <w:sz w:val="36"/>
        </w:rPr>
        <w:t>方负责。</w:t>
      </w:r>
    </w:p>
    <w:p>
      <w:pPr>
        <w:pStyle w:val="6"/>
        <w:numPr>
          <w:ilvl w:val="1"/>
          <w:numId w:val="1"/>
        </w:numPr>
        <w:tabs>
          <w:tab w:val="left" w:pos="1100"/>
        </w:tabs>
        <w:spacing w:before="0" w:after="0" w:line="449" w:lineRule="exact"/>
        <w:ind w:left="1100" w:right="0" w:hanging="660"/>
        <w:jc w:val="both"/>
        <w:rPr>
          <w:sz w:val="36"/>
        </w:rPr>
      </w:pPr>
      <w:r>
        <w:rPr>
          <w:sz w:val="36"/>
        </w:rPr>
        <w:t>甲方相关安全、消防、治安的职能部门和监督管理人员有权对乙方的车辆运输</w:t>
      </w:r>
    </w:p>
    <w:p>
      <w:pPr>
        <w:pStyle w:val="2"/>
        <w:spacing w:before="218"/>
        <w:ind w:left="1100"/>
      </w:pPr>
      <w:r>
        <w:t>作业进行检查，发现不安全状态或不安全行为，有权向乙方提出整改意见，乙</w:t>
      </w:r>
    </w:p>
    <w:p>
      <w:pPr>
        <w:pStyle w:val="2"/>
        <w:tabs>
          <w:tab w:val="left" w:pos="11819"/>
        </w:tabs>
        <w:spacing w:before="199" w:line="364" w:lineRule="auto"/>
        <w:ind w:left="1100" w:right="259"/>
      </w:pPr>
      <w:r>
        <w:t>方在听取甲方整改意见后，</w:t>
      </w:r>
      <w:r>
        <w:rPr>
          <w:spacing w:val="80"/>
        </w:rPr>
        <w:t xml:space="preserve"> </w:t>
      </w:r>
      <w:r>
        <w:t>应按相关规定或标准及时落实整改，</w:t>
      </w:r>
      <w:r>
        <w:tab/>
      </w:r>
      <w:r>
        <w:t>对不服从管理</w:t>
      </w:r>
      <w:r>
        <w:rPr>
          <w:spacing w:val="-18"/>
        </w:rPr>
        <w:t xml:space="preserve">， </w:t>
      </w:r>
      <w:r>
        <w:t>不落实整改，以及发现存在有可能危及人身设备安全、防火隐患的，有权责令</w:t>
      </w:r>
    </w:p>
    <w:p>
      <w:pPr>
        <w:pStyle w:val="2"/>
        <w:spacing w:line="419" w:lineRule="exact"/>
        <w:ind w:left="1100"/>
      </w:pPr>
      <w:r>
        <w:t>乙方停止作业，由此造成的损失由乙方负责，对乙方的违规行为按本协议的规</w:t>
      </w:r>
    </w:p>
    <w:p>
      <w:pPr>
        <w:pStyle w:val="2"/>
        <w:spacing w:before="219"/>
        <w:ind w:left="1100"/>
      </w:pPr>
      <w:r>
        <w:t>定处理。</w:t>
      </w:r>
    </w:p>
    <w:p>
      <w:pPr>
        <w:pStyle w:val="6"/>
        <w:numPr>
          <w:ilvl w:val="1"/>
          <w:numId w:val="1"/>
        </w:numPr>
        <w:tabs>
          <w:tab w:val="left" w:pos="1100"/>
        </w:tabs>
        <w:spacing w:before="219" w:after="0" w:line="348" w:lineRule="auto"/>
        <w:ind w:left="1100" w:right="1059" w:hanging="660"/>
        <w:jc w:val="left"/>
        <w:rPr>
          <w:sz w:val="36"/>
        </w:rPr>
      </w:pPr>
      <w:r>
        <w:rPr>
          <w:sz w:val="36"/>
        </w:rPr>
        <w:t>依据“谁主管，谁负责”的原则，一旦乙方发生工伤事故，由乙方负责按国务</w:t>
      </w:r>
      <w:r>
        <w:rPr>
          <w:spacing w:val="6"/>
          <w:sz w:val="36"/>
        </w:rPr>
        <w:t xml:space="preserve">院第 </w:t>
      </w:r>
      <w:r>
        <w:rPr>
          <w:rFonts w:ascii="Arial" w:hAnsi="Arial" w:eastAsia="Arial"/>
          <w:sz w:val="36"/>
        </w:rPr>
        <w:t>493</w:t>
      </w:r>
      <w:r>
        <w:rPr>
          <w:rFonts w:ascii="Arial" w:hAnsi="Arial" w:eastAsia="Arial"/>
          <w:spacing w:val="18"/>
          <w:sz w:val="36"/>
        </w:rPr>
        <w:t xml:space="preserve"> </w:t>
      </w:r>
      <w:r>
        <w:rPr>
          <w:spacing w:val="-1"/>
          <w:sz w:val="36"/>
        </w:rPr>
        <w:t>号令《生产安全事故报告和调查处理条例》和本市有关规定报告、统</w:t>
      </w:r>
      <w:r>
        <w:rPr>
          <w:sz w:val="36"/>
        </w:rPr>
        <w:t>计、调查、处理；并及时通报甲方消防与安全科或总值班室。</w:t>
      </w:r>
    </w:p>
    <w:p>
      <w:pPr>
        <w:pStyle w:val="6"/>
        <w:numPr>
          <w:ilvl w:val="1"/>
          <w:numId w:val="1"/>
        </w:numPr>
        <w:tabs>
          <w:tab w:val="left" w:pos="1100"/>
          <w:tab w:val="left" w:pos="14039"/>
          <w:tab w:val="left" w:pos="14139"/>
        </w:tabs>
        <w:spacing w:before="13" w:after="0" w:line="352" w:lineRule="auto"/>
        <w:ind w:left="1100" w:right="199" w:hanging="660"/>
        <w:jc w:val="left"/>
        <w:rPr>
          <w:sz w:val="36"/>
        </w:rPr>
      </w:pPr>
      <w:r>
        <w:rPr>
          <w:sz w:val="36"/>
        </w:rPr>
        <w:t>贯彻“谁主管，谁负责”的原则，甲、乙双方人员在服务期间造成伤亡、火灾</w:t>
      </w:r>
      <w:r>
        <w:rPr>
          <w:sz w:val="36"/>
        </w:rPr>
        <w:tab/>
      </w:r>
      <w:r>
        <w:rPr>
          <w:sz w:val="36"/>
        </w:rPr>
        <w:tab/>
      </w:r>
      <w:r>
        <w:rPr>
          <w:rFonts w:ascii="Arial" w:hAnsi="Arial" w:eastAsia="Arial"/>
          <w:sz w:val="36"/>
        </w:rPr>
        <w:t xml:space="preserve">/ </w:t>
      </w:r>
      <w:r>
        <w:rPr>
          <w:sz w:val="36"/>
        </w:rPr>
        <w:t>火警、设备损坏等大事故（包括甲或乙方责任造成对方或第三方人员伤亡等）</w:t>
      </w:r>
      <w:r>
        <w:rPr>
          <w:sz w:val="36"/>
        </w:rPr>
        <w:tab/>
      </w:r>
      <w:r>
        <w:rPr>
          <w:spacing w:val="-18"/>
          <w:sz w:val="36"/>
        </w:rPr>
        <w:t xml:space="preserve">， </w:t>
      </w:r>
      <w:r>
        <w:rPr>
          <w:sz w:val="36"/>
        </w:rPr>
        <w:t>双方应协力抢救伤员和保护现场，按国务院及上海市有关事故报告规定在事故</w:t>
      </w:r>
    </w:p>
    <w:p>
      <w:pPr>
        <w:pStyle w:val="2"/>
        <w:spacing w:line="447" w:lineRule="exact"/>
        <w:ind w:left="1100"/>
      </w:pPr>
      <w:r>
        <w:t>发生后立即报告各自的上级主管部门市、区安全生产监察部门等有关机构。事</w:t>
      </w:r>
    </w:p>
    <w:p>
      <w:pPr>
        <w:pStyle w:val="2"/>
        <w:spacing w:before="239"/>
        <w:ind w:left="1100"/>
      </w:pPr>
      <w:r>
        <w:t>故损失和善后处理费用应按责任大小，协商解决。协商不成由有关部门仲裁。</w:t>
      </w:r>
    </w:p>
    <w:p>
      <w:pPr>
        <w:pStyle w:val="6"/>
        <w:numPr>
          <w:ilvl w:val="1"/>
          <w:numId w:val="1"/>
        </w:numPr>
        <w:tabs>
          <w:tab w:val="left" w:pos="1479"/>
          <w:tab w:val="left" w:pos="1480"/>
        </w:tabs>
        <w:spacing w:before="199" w:after="0" w:line="352" w:lineRule="auto"/>
        <w:ind w:left="1100" w:right="1239" w:hanging="660"/>
        <w:jc w:val="left"/>
        <w:rPr>
          <w:sz w:val="36"/>
        </w:rPr>
      </w:pPr>
      <w:r>
        <w:rPr>
          <w:spacing w:val="-1"/>
          <w:sz w:val="36"/>
        </w:rPr>
        <w:t>乙方人员、车辆进入甲方区域进行作业须遵守以下规定，违者将由甲方按有</w:t>
      </w:r>
      <w:r>
        <w:rPr>
          <w:sz w:val="36"/>
        </w:rPr>
        <w:t>关规定处理。</w:t>
      </w:r>
    </w:p>
    <w:p>
      <w:pPr>
        <w:pStyle w:val="6"/>
        <w:numPr>
          <w:ilvl w:val="1"/>
          <w:numId w:val="2"/>
        </w:numPr>
        <w:tabs>
          <w:tab w:val="left" w:pos="1399"/>
          <w:tab w:val="left" w:pos="1400"/>
          <w:tab w:val="left" w:pos="11239"/>
        </w:tabs>
        <w:spacing w:before="0" w:after="0" w:line="445" w:lineRule="exact"/>
        <w:ind w:left="1400" w:right="0" w:hanging="960"/>
        <w:jc w:val="left"/>
        <w:rPr>
          <w:sz w:val="36"/>
        </w:rPr>
      </w:pPr>
      <w:r>
        <w:rPr>
          <w:sz w:val="36"/>
        </w:rPr>
        <w:t>乙方应遵守甲方的《人员、车辆、物质出入公司管理规定》</w:t>
      </w:r>
      <w:r>
        <w:rPr>
          <w:sz w:val="36"/>
        </w:rPr>
        <w:tab/>
      </w:r>
      <w:r>
        <w:rPr>
          <w:sz w:val="36"/>
        </w:rPr>
        <w:t>，乙方人员进入甲</w:t>
      </w:r>
    </w:p>
    <w:p>
      <w:pPr>
        <w:pStyle w:val="2"/>
        <w:spacing w:before="238" w:line="343" w:lineRule="auto"/>
        <w:ind w:left="1020" w:right="1339"/>
      </w:pPr>
      <w:r>
        <w:t>方区域时，必须按规定佩带出入证。未经许可不准进入与其工作无关的区域， 车辆出入必须接受甲方门卫检查。</w:t>
      </w:r>
    </w:p>
    <w:p>
      <w:pPr>
        <w:pStyle w:val="6"/>
        <w:numPr>
          <w:ilvl w:val="1"/>
          <w:numId w:val="2"/>
        </w:numPr>
        <w:tabs>
          <w:tab w:val="left" w:pos="1440"/>
        </w:tabs>
        <w:spacing w:before="21" w:after="0" w:line="352" w:lineRule="auto"/>
        <w:ind w:left="1020" w:right="1279" w:hanging="580"/>
        <w:jc w:val="both"/>
        <w:rPr>
          <w:sz w:val="36"/>
        </w:rPr>
      </w:pPr>
      <w:r>
        <w:rPr>
          <w:spacing w:val="-1"/>
          <w:sz w:val="36"/>
        </w:rPr>
        <w:t>乙方人员在甲方区域从事车辆运输作业服务期间，应爱护甲方公物、绿化、</w:t>
      </w:r>
      <w:r>
        <w:rPr>
          <w:sz w:val="36"/>
        </w:rPr>
        <w:t>及设备设施，不论是否故意损坏，乙方都应照价赔偿；同时必须遵守甲方内部公共秩序和公共道德。</w:t>
      </w:r>
    </w:p>
    <w:p>
      <w:pPr>
        <w:pStyle w:val="6"/>
        <w:numPr>
          <w:ilvl w:val="1"/>
          <w:numId w:val="2"/>
        </w:numPr>
        <w:tabs>
          <w:tab w:val="left" w:pos="1320"/>
        </w:tabs>
        <w:spacing w:before="0" w:after="0" w:line="447" w:lineRule="exact"/>
        <w:ind w:left="1320" w:right="0" w:hanging="880"/>
        <w:jc w:val="both"/>
        <w:rPr>
          <w:sz w:val="36"/>
        </w:rPr>
      </w:pPr>
      <w:r>
        <w:rPr>
          <w:sz w:val="36"/>
        </w:rPr>
        <w:t>乙方人员进入甲方区域必须遵守甲方的“禁烟条例”规定，只准在规定的吸烟</w:t>
      </w:r>
    </w:p>
    <w:p>
      <w:pPr>
        <w:pStyle w:val="2"/>
        <w:spacing w:before="239"/>
        <w:ind w:left="1020"/>
      </w:pPr>
      <w:r>
        <w:t>点吸烟，不准吸游烟。</w:t>
      </w:r>
    </w:p>
    <w:p>
      <w:pPr>
        <w:pStyle w:val="6"/>
        <w:numPr>
          <w:ilvl w:val="1"/>
          <w:numId w:val="2"/>
        </w:numPr>
        <w:tabs>
          <w:tab w:val="left" w:pos="1439"/>
          <w:tab w:val="left" w:pos="1440"/>
        </w:tabs>
        <w:spacing w:before="199" w:after="0" w:line="352" w:lineRule="auto"/>
        <w:ind w:left="1020" w:right="1279" w:hanging="580"/>
        <w:jc w:val="left"/>
        <w:rPr>
          <w:sz w:val="36"/>
        </w:rPr>
      </w:pPr>
      <w:r>
        <w:rPr>
          <w:spacing w:val="-1"/>
          <w:sz w:val="36"/>
        </w:rPr>
        <w:t>乙方人员及车辆进入甲方区域，必须接受甲方所在区域部门的安全协调和管</w:t>
      </w:r>
      <w:r>
        <w:rPr>
          <w:sz w:val="36"/>
        </w:rPr>
        <w:t>理，服从甲方合理的安排；在甲方区域范围内行驶的车辆，须根据甲方内部的</w:t>
      </w:r>
    </w:p>
    <w:p>
      <w:pPr>
        <w:spacing w:after="0" w:line="352" w:lineRule="auto"/>
        <w:jc w:val="left"/>
        <w:rPr>
          <w:sz w:val="36"/>
        </w:rPr>
        <w:sectPr>
          <w:pgSz w:w="19120" w:h="27060"/>
          <w:pgMar w:top="2000" w:right="1760" w:bottom="280" w:left="2760" w:header="720" w:footer="720" w:gutter="0"/>
        </w:sectPr>
      </w:pPr>
    </w:p>
    <w:p>
      <w:pPr>
        <w:pStyle w:val="2"/>
        <w:spacing w:before="20"/>
        <w:ind w:left="1020"/>
      </w:pPr>
      <w:r>
        <w:t>道路交通标志行驶、通行、停放，在规定或指定的区域内装卸货物。</w:t>
      </w:r>
    </w:p>
    <w:p>
      <w:pPr>
        <w:pStyle w:val="6"/>
        <w:numPr>
          <w:ilvl w:val="1"/>
          <w:numId w:val="2"/>
        </w:numPr>
        <w:tabs>
          <w:tab w:val="left" w:pos="1480"/>
        </w:tabs>
        <w:spacing w:before="238" w:after="0" w:line="348" w:lineRule="auto"/>
        <w:ind w:left="1080" w:right="1239" w:hanging="580"/>
        <w:jc w:val="both"/>
        <w:rPr>
          <w:sz w:val="36"/>
        </w:rPr>
      </w:pPr>
      <w:r>
        <w:rPr>
          <w:sz w:val="36"/>
        </w:rPr>
        <w:t>乙方任何在甲方区域范围内行驶的车辆，必须是经公安部门（</w:t>
      </w:r>
      <w:r>
        <w:rPr>
          <w:spacing w:val="-3"/>
          <w:sz w:val="36"/>
        </w:rPr>
        <w:t>或相关的行政</w:t>
      </w:r>
      <w:r>
        <w:rPr>
          <w:sz w:val="36"/>
        </w:rPr>
        <w:t>部门）年检合格，并挂有正规的车辆牌号。对无牌号、伪牌号、无证，检验不合格的车辆不准在甲方区域范围内行驶。</w:t>
      </w:r>
    </w:p>
    <w:p>
      <w:pPr>
        <w:pStyle w:val="6"/>
        <w:numPr>
          <w:ilvl w:val="1"/>
          <w:numId w:val="2"/>
        </w:numPr>
        <w:tabs>
          <w:tab w:val="left" w:pos="1440"/>
        </w:tabs>
        <w:spacing w:before="14" w:after="0" w:line="240" w:lineRule="auto"/>
        <w:ind w:left="1440" w:right="0" w:hanging="1000"/>
        <w:jc w:val="both"/>
        <w:rPr>
          <w:sz w:val="36"/>
        </w:rPr>
      </w:pPr>
      <w:r>
        <w:rPr>
          <w:sz w:val="36"/>
        </w:rPr>
        <w:t>乙方在甲方区域范围内行驶的车辆不准超速行驶，厂区主干道最高时速不得</w:t>
      </w:r>
    </w:p>
    <w:p>
      <w:pPr>
        <w:pStyle w:val="2"/>
        <w:spacing w:before="219" w:line="343" w:lineRule="auto"/>
        <w:ind w:left="1020" w:right="559"/>
        <w:jc w:val="both"/>
      </w:pPr>
      <w:r>
        <w:t xml:space="preserve">超过 </w:t>
      </w:r>
      <w:r>
        <w:rPr>
          <w:rFonts w:ascii="Arial" w:eastAsia="Arial"/>
        </w:rPr>
        <w:t>30km/h</w:t>
      </w:r>
      <w:r>
        <w:t xml:space="preserve">，厂区支干道最高时速不得超过 </w:t>
      </w:r>
      <w:r>
        <w:rPr>
          <w:rFonts w:ascii="Arial" w:eastAsia="Arial"/>
        </w:rPr>
        <w:t>20km/h</w:t>
      </w:r>
      <w:r>
        <w:t xml:space="preserve">，车间内行驶的车辆最高时速不得超过 </w:t>
      </w:r>
      <w:r>
        <w:rPr>
          <w:rFonts w:ascii="Arial" w:eastAsia="Arial"/>
        </w:rPr>
        <w:t>5km/h</w:t>
      </w:r>
      <w:r>
        <w:t>。有限速标志的道路，按照限速的要求行驶。</w:t>
      </w:r>
    </w:p>
    <w:p>
      <w:pPr>
        <w:pStyle w:val="6"/>
        <w:numPr>
          <w:ilvl w:val="1"/>
          <w:numId w:val="2"/>
        </w:numPr>
        <w:tabs>
          <w:tab w:val="left" w:pos="1440"/>
        </w:tabs>
        <w:spacing w:before="41" w:after="0" w:line="348" w:lineRule="auto"/>
        <w:ind w:left="1020" w:right="1279" w:hanging="580"/>
        <w:jc w:val="both"/>
        <w:rPr>
          <w:sz w:val="36"/>
        </w:rPr>
      </w:pPr>
      <w:r>
        <w:rPr>
          <w:spacing w:val="-1"/>
          <w:sz w:val="36"/>
        </w:rPr>
        <w:t>乙方所有进入甲方区域范围内的车辆不得运载超高、超重、超长、超宽等物</w:t>
      </w:r>
      <w:r>
        <w:rPr>
          <w:sz w:val="36"/>
        </w:rPr>
        <w:t>品。载运不可解体货物的体积超过规定时，必须经甲方业务主管部门和安全部门批准，指派专人押车，按指定的路线、时间和要求行驶，并悬挂明显的安全标志。</w:t>
      </w:r>
    </w:p>
    <w:p>
      <w:pPr>
        <w:pStyle w:val="6"/>
        <w:numPr>
          <w:ilvl w:val="1"/>
          <w:numId w:val="2"/>
        </w:numPr>
        <w:tabs>
          <w:tab w:val="left" w:pos="1440"/>
        </w:tabs>
        <w:spacing w:before="24" w:after="0" w:line="348" w:lineRule="auto"/>
        <w:ind w:left="1020" w:right="1279" w:hanging="580"/>
        <w:jc w:val="both"/>
        <w:rPr>
          <w:sz w:val="36"/>
        </w:rPr>
      </w:pPr>
      <w:r>
        <w:rPr>
          <w:spacing w:val="-1"/>
          <w:sz w:val="36"/>
        </w:rPr>
        <w:t>乙方所有进入甲方区域范围内的车辆装载货物必须均衡平稳，捆扎牢固，车</w:t>
      </w:r>
      <w:r>
        <w:rPr>
          <w:sz w:val="36"/>
        </w:rPr>
        <w:t>厢侧板、栏板要关好、拴牢。货物未固稳，车拦板未关，厢式车没有拦板的， 或拦板不能起到防护作用的不得在公司区域内行驶。</w:t>
      </w:r>
    </w:p>
    <w:p>
      <w:pPr>
        <w:pStyle w:val="6"/>
        <w:numPr>
          <w:ilvl w:val="1"/>
          <w:numId w:val="2"/>
        </w:numPr>
        <w:tabs>
          <w:tab w:val="left" w:pos="1440"/>
        </w:tabs>
        <w:spacing w:before="14" w:after="0" w:line="348" w:lineRule="auto"/>
        <w:ind w:left="1020" w:right="1279" w:hanging="580"/>
        <w:jc w:val="both"/>
        <w:rPr>
          <w:sz w:val="36"/>
        </w:rPr>
      </w:pPr>
      <w:r>
        <w:rPr>
          <w:spacing w:val="-1"/>
          <w:sz w:val="36"/>
        </w:rPr>
        <w:t>乙方所有进入甲方区域范围的车辆的制动器、转向器、喇叭、灯光、雨刷和</w:t>
      </w:r>
      <w:r>
        <w:rPr>
          <w:sz w:val="36"/>
        </w:rPr>
        <w:t>后视镜必须保持齐全有效，行驶途中，如制动器、转向器、喇叭、灯光发生故障或雨雪天雨刷发生故障时，应停车修复后，方准继续行驶。</w:t>
      </w:r>
    </w:p>
    <w:p>
      <w:pPr>
        <w:pStyle w:val="6"/>
        <w:numPr>
          <w:ilvl w:val="1"/>
          <w:numId w:val="2"/>
        </w:numPr>
        <w:tabs>
          <w:tab w:val="left" w:pos="1579"/>
          <w:tab w:val="left" w:pos="1580"/>
        </w:tabs>
        <w:spacing w:before="13" w:after="0" w:line="352" w:lineRule="auto"/>
        <w:ind w:left="1020" w:right="1139" w:hanging="580"/>
        <w:jc w:val="left"/>
        <w:rPr>
          <w:sz w:val="36"/>
        </w:rPr>
      </w:pPr>
      <w:r>
        <w:rPr>
          <w:spacing w:val="-1"/>
          <w:sz w:val="36"/>
        </w:rPr>
        <w:t>乙方进入甲方区域范围内作业的一切机动车辆驾驶员，必须是持有国家颁发</w:t>
      </w:r>
      <w:r>
        <w:rPr>
          <w:sz w:val="36"/>
        </w:rPr>
        <w:t>的有效驾驶证，严格遵守甲方制定的道路交通管理规定。实习期驾驶员不得独立作业。</w:t>
      </w:r>
    </w:p>
    <w:p>
      <w:pPr>
        <w:pStyle w:val="6"/>
        <w:numPr>
          <w:ilvl w:val="1"/>
          <w:numId w:val="2"/>
        </w:numPr>
        <w:tabs>
          <w:tab w:val="left" w:pos="1579"/>
          <w:tab w:val="left" w:pos="1580"/>
        </w:tabs>
        <w:spacing w:before="0" w:after="0" w:line="447" w:lineRule="exact"/>
        <w:ind w:left="1580" w:right="0" w:hanging="1140"/>
        <w:jc w:val="left"/>
        <w:rPr>
          <w:sz w:val="36"/>
        </w:rPr>
      </w:pPr>
      <w:r>
        <w:rPr>
          <w:sz w:val="36"/>
        </w:rPr>
        <w:t>乙方在甲方区域范围内使用的铲车、电瓶铲车、电瓶托盘车必须在规定区域</w:t>
      </w:r>
    </w:p>
    <w:p>
      <w:pPr>
        <w:pStyle w:val="2"/>
        <w:spacing w:before="239"/>
        <w:ind w:left="1020"/>
      </w:pPr>
      <w:r>
        <w:t>内作业、行驶。</w:t>
      </w:r>
    </w:p>
    <w:p>
      <w:pPr>
        <w:pStyle w:val="6"/>
        <w:numPr>
          <w:ilvl w:val="0"/>
          <w:numId w:val="3"/>
        </w:numPr>
        <w:tabs>
          <w:tab w:val="left" w:pos="1201"/>
        </w:tabs>
        <w:spacing w:before="199" w:after="0" w:line="240" w:lineRule="auto"/>
        <w:ind w:left="1201" w:right="0" w:hanging="761"/>
        <w:jc w:val="left"/>
        <w:rPr>
          <w:sz w:val="36"/>
        </w:rPr>
      </w:pPr>
      <w:r>
        <w:rPr>
          <w:sz w:val="36"/>
        </w:rPr>
        <w:t>违章处罚</w:t>
      </w:r>
    </w:p>
    <w:p>
      <w:pPr>
        <w:pStyle w:val="6"/>
        <w:numPr>
          <w:ilvl w:val="1"/>
          <w:numId w:val="3"/>
        </w:numPr>
        <w:tabs>
          <w:tab w:val="left" w:pos="1220"/>
          <w:tab w:val="left" w:pos="5459"/>
          <w:tab w:val="left" w:pos="6439"/>
        </w:tabs>
        <w:spacing w:before="219" w:after="0" w:line="352" w:lineRule="auto"/>
        <w:ind w:left="1020" w:right="619" w:hanging="580"/>
        <w:jc w:val="left"/>
        <w:rPr>
          <w:sz w:val="36"/>
        </w:rPr>
      </w:pPr>
      <w:r>
        <w:rPr>
          <w:sz w:val="36"/>
        </w:rPr>
        <w:t>乙方同意将业务合同款的</w:t>
      </w:r>
      <w:r>
        <w:rPr>
          <w:sz w:val="36"/>
        </w:rPr>
        <w:tab/>
      </w:r>
      <w:r>
        <w:rPr>
          <w:rFonts w:ascii="Arial" w:hAnsi="Arial" w:eastAsia="Arial"/>
          <w:spacing w:val="-41"/>
          <w:sz w:val="36"/>
        </w:rPr>
        <w:t>3%</w:t>
      </w:r>
      <w:r>
        <w:rPr>
          <w:spacing w:val="-41"/>
          <w:sz w:val="36"/>
        </w:rPr>
        <w:t>，</w:t>
      </w:r>
      <w:r>
        <w:rPr>
          <w:sz w:val="36"/>
        </w:rPr>
        <w:t>作为乙方在甲方从事运输作业时的安全保证金。乙方作业过程中，若违反本协议</w:t>
      </w:r>
      <w:r>
        <w:rPr>
          <w:sz w:val="36"/>
        </w:rPr>
        <w:tab/>
      </w:r>
      <w:r>
        <w:rPr>
          <w:rFonts w:ascii="Arial" w:hAnsi="Arial" w:eastAsia="Arial"/>
          <w:sz w:val="36"/>
        </w:rPr>
        <w:t>11.1</w:t>
      </w:r>
      <w:r>
        <w:rPr>
          <w:rFonts w:ascii="Arial" w:hAnsi="Arial" w:eastAsia="Arial"/>
          <w:spacing w:val="-43"/>
          <w:sz w:val="36"/>
        </w:rPr>
        <w:t xml:space="preserve"> </w:t>
      </w:r>
      <w:r>
        <w:rPr>
          <w:sz w:val="36"/>
        </w:rPr>
        <w:t>——</w:t>
      </w:r>
      <w:r>
        <w:rPr>
          <w:spacing w:val="-122"/>
          <w:sz w:val="36"/>
        </w:rPr>
        <w:t xml:space="preserve"> </w:t>
      </w:r>
      <w:r>
        <w:rPr>
          <w:rFonts w:ascii="Arial" w:hAnsi="Arial" w:eastAsia="Arial"/>
          <w:sz w:val="36"/>
        </w:rPr>
        <w:t>11.11</w:t>
      </w:r>
      <w:r>
        <w:rPr>
          <w:rFonts w:ascii="Arial" w:hAnsi="Arial" w:eastAsia="Arial"/>
          <w:spacing w:val="-43"/>
          <w:sz w:val="36"/>
        </w:rPr>
        <w:t xml:space="preserve"> </w:t>
      </w:r>
      <w:r>
        <w:rPr>
          <w:sz w:val="36"/>
        </w:rPr>
        <w:t>条款，经甲方发现，核实，甲</w:t>
      </w:r>
      <w:r>
        <w:rPr>
          <w:spacing w:val="-11"/>
          <w:sz w:val="36"/>
        </w:rPr>
        <w:t>方</w:t>
      </w:r>
      <w:r>
        <w:rPr>
          <w:sz w:val="36"/>
        </w:rPr>
        <w:t>有权用该安全保证金对乙方进行经济处罚。</w:t>
      </w:r>
    </w:p>
    <w:p>
      <w:pPr>
        <w:pStyle w:val="6"/>
        <w:numPr>
          <w:ilvl w:val="1"/>
          <w:numId w:val="3"/>
        </w:numPr>
        <w:tabs>
          <w:tab w:val="left" w:pos="1459"/>
          <w:tab w:val="left" w:pos="1460"/>
        </w:tabs>
        <w:spacing w:before="0" w:after="0" w:line="447" w:lineRule="exact"/>
        <w:ind w:left="1460" w:right="0" w:hanging="960"/>
        <w:jc w:val="left"/>
        <w:rPr>
          <w:sz w:val="36"/>
        </w:rPr>
      </w:pPr>
      <w:r>
        <w:rPr>
          <w:sz w:val="36"/>
        </w:rPr>
        <w:t>经济处罚</w:t>
      </w:r>
    </w:p>
    <w:p>
      <w:pPr>
        <w:pStyle w:val="6"/>
        <w:numPr>
          <w:ilvl w:val="2"/>
          <w:numId w:val="3"/>
        </w:numPr>
        <w:tabs>
          <w:tab w:val="left" w:pos="1621"/>
          <w:tab w:val="left" w:pos="2979"/>
          <w:tab w:val="left" w:pos="3899"/>
        </w:tabs>
        <w:spacing w:before="218" w:after="0" w:line="240" w:lineRule="auto"/>
        <w:ind w:left="1621" w:right="0" w:hanging="541"/>
        <w:jc w:val="left"/>
        <w:rPr>
          <w:sz w:val="36"/>
        </w:rPr>
      </w:pPr>
      <w:r>
        <w:rPr>
          <w:sz w:val="36"/>
        </w:rPr>
        <w:t>对违反</w:t>
      </w:r>
      <w:r>
        <w:rPr>
          <w:sz w:val="36"/>
        </w:rPr>
        <w:tab/>
      </w:r>
      <w:r>
        <w:rPr>
          <w:rFonts w:ascii="Arial" w:eastAsia="Arial"/>
          <w:sz w:val="36"/>
        </w:rPr>
        <w:t>11.4</w:t>
      </w:r>
      <w:r>
        <w:rPr>
          <w:rFonts w:ascii="Arial" w:eastAsia="Arial"/>
          <w:sz w:val="36"/>
        </w:rPr>
        <w:tab/>
      </w:r>
      <w:r>
        <w:rPr>
          <w:sz w:val="36"/>
        </w:rPr>
        <w:t>条款，不服从甲方合理安排和管理的，视情节给以口头或书面</w:t>
      </w:r>
    </w:p>
    <w:p>
      <w:pPr>
        <w:pStyle w:val="2"/>
        <w:tabs>
          <w:tab w:val="left" w:pos="4839"/>
        </w:tabs>
        <w:spacing w:before="219"/>
        <w:ind w:left="1640"/>
      </w:pPr>
      <w:r>
        <w:t>警告，并一次罚款</w:t>
      </w:r>
      <w:r>
        <w:tab/>
      </w:r>
      <w:r>
        <w:rPr>
          <w:rFonts w:ascii="Arial" w:eastAsia="Arial"/>
        </w:rPr>
        <w:t>200-2000</w:t>
      </w:r>
      <w:r>
        <w:rPr>
          <w:rFonts w:ascii="Arial" w:eastAsia="Arial"/>
          <w:spacing w:val="17"/>
        </w:rPr>
        <w:t xml:space="preserve"> </w:t>
      </w:r>
      <w:r>
        <w:t>元；</w:t>
      </w:r>
    </w:p>
    <w:p>
      <w:pPr>
        <w:pStyle w:val="6"/>
        <w:numPr>
          <w:ilvl w:val="2"/>
          <w:numId w:val="3"/>
        </w:numPr>
        <w:tabs>
          <w:tab w:val="left" w:pos="1621"/>
          <w:tab w:val="left" w:pos="8699"/>
        </w:tabs>
        <w:spacing w:before="219" w:after="0" w:line="343" w:lineRule="auto"/>
        <w:ind w:left="1640" w:right="1099" w:hanging="560"/>
        <w:jc w:val="left"/>
        <w:rPr>
          <w:sz w:val="36"/>
        </w:rPr>
      </w:pPr>
      <w:r>
        <w:rPr>
          <w:sz w:val="36"/>
        </w:rPr>
        <w:t>对违反甲方内部的道路交通标志，未按规定行驶、通行、停放，未在规定</w:t>
      </w:r>
      <w:r>
        <w:rPr>
          <w:spacing w:val="-19"/>
          <w:sz w:val="36"/>
        </w:rPr>
        <w:t>或</w:t>
      </w:r>
      <w:r>
        <w:rPr>
          <w:sz w:val="36"/>
        </w:rPr>
        <w:t>指定的区域内装卸货物的，给予一次罚款</w:t>
      </w:r>
      <w:r>
        <w:rPr>
          <w:sz w:val="36"/>
        </w:rPr>
        <w:tab/>
      </w:r>
      <w:r>
        <w:rPr>
          <w:rFonts w:ascii="Arial" w:eastAsia="Arial"/>
          <w:sz w:val="36"/>
        </w:rPr>
        <w:t>200-1000</w:t>
      </w:r>
      <w:r>
        <w:rPr>
          <w:rFonts w:ascii="Arial" w:eastAsia="Arial"/>
          <w:spacing w:val="17"/>
          <w:sz w:val="36"/>
        </w:rPr>
        <w:t xml:space="preserve"> </w:t>
      </w:r>
      <w:r>
        <w:rPr>
          <w:sz w:val="36"/>
        </w:rPr>
        <w:t>元；</w:t>
      </w:r>
    </w:p>
    <w:p>
      <w:pPr>
        <w:pStyle w:val="6"/>
        <w:numPr>
          <w:ilvl w:val="2"/>
          <w:numId w:val="3"/>
        </w:numPr>
        <w:tabs>
          <w:tab w:val="left" w:pos="1621"/>
          <w:tab w:val="left" w:pos="2979"/>
          <w:tab w:val="left" w:pos="5059"/>
        </w:tabs>
        <w:spacing w:before="41" w:after="0" w:line="240" w:lineRule="auto"/>
        <w:ind w:left="1621" w:right="0" w:hanging="541"/>
        <w:jc w:val="left"/>
        <w:rPr>
          <w:sz w:val="36"/>
        </w:rPr>
      </w:pPr>
      <w:r>
        <w:rPr>
          <w:sz w:val="36"/>
        </w:rPr>
        <w:t>对违反</w:t>
      </w:r>
      <w:r>
        <w:rPr>
          <w:sz w:val="36"/>
        </w:rPr>
        <w:tab/>
      </w:r>
      <w:r>
        <w:rPr>
          <w:rFonts w:ascii="Arial" w:eastAsia="Arial"/>
          <w:sz w:val="36"/>
        </w:rPr>
        <w:t>11.5</w:t>
      </w:r>
      <w:r>
        <w:rPr>
          <w:rFonts w:ascii="Arial" w:eastAsia="Arial"/>
          <w:spacing w:val="-22"/>
          <w:sz w:val="36"/>
        </w:rPr>
        <w:t xml:space="preserve"> </w:t>
      </w:r>
      <w:r>
        <w:rPr>
          <w:spacing w:val="3"/>
          <w:sz w:val="36"/>
        </w:rPr>
        <w:t>，</w:t>
      </w:r>
      <w:r>
        <w:rPr>
          <w:rFonts w:ascii="Arial" w:eastAsia="Arial"/>
          <w:spacing w:val="3"/>
          <w:sz w:val="36"/>
        </w:rPr>
        <w:t>11.9</w:t>
      </w:r>
      <w:r>
        <w:rPr>
          <w:rFonts w:ascii="Arial" w:eastAsia="Arial"/>
          <w:spacing w:val="3"/>
          <w:sz w:val="36"/>
        </w:rPr>
        <w:tab/>
      </w:r>
      <w:r>
        <w:rPr>
          <w:sz w:val="36"/>
        </w:rPr>
        <w:t>条款，驾驶无牌，伪牌，无证，车辆不完好，以及未经</w:t>
      </w:r>
    </w:p>
    <w:p>
      <w:pPr>
        <w:pStyle w:val="2"/>
        <w:tabs>
          <w:tab w:val="left" w:pos="12119"/>
        </w:tabs>
        <w:spacing w:before="199"/>
        <w:ind w:left="1640"/>
      </w:pPr>
      <w:r>
        <w:t>国家公安部门检验合格车辆的，经发现，核实，给予一次罚款</w:t>
      </w:r>
      <w:r>
        <w:tab/>
      </w:r>
      <w:r>
        <w:rPr>
          <w:rFonts w:ascii="Arial" w:eastAsia="Arial"/>
        </w:rPr>
        <w:t>200-1000</w:t>
      </w:r>
      <w:r>
        <w:rPr>
          <w:rFonts w:ascii="Arial" w:eastAsia="Arial"/>
          <w:spacing w:val="14"/>
        </w:rPr>
        <w:t xml:space="preserve"> </w:t>
      </w:r>
      <w:r>
        <w:t>元；</w:t>
      </w:r>
    </w:p>
    <w:p>
      <w:pPr>
        <w:pStyle w:val="6"/>
        <w:numPr>
          <w:ilvl w:val="2"/>
          <w:numId w:val="3"/>
        </w:numPr>
        <w:tabs>
          <w:tab w:val="left" w:pos="1621"/>
          <w:tab w:val="left" w:pos="4739"/>
        </w:tabs>
        <w:spacing w:before="218" w:after="0" w:line="240" w:lineRule="auto"/>
        <w:ind w:left="1621" w:right="0" w:hanging="541"/>
        <w:jc w:val="left"/>
        <w:rPr>
          <w:sz w:val="36"/>
        </w:rPr>
      </w:pPr>
      <w:r>
        <w:rPr>
          <w:sz w:val="36"/>
        </w:rPr>
        <w:t>对违反</w:t>
      </w:r>
      <w:r>
        <w:rPr>
          <w:spacing w:val="36"/>
          <w:sz w:val="36"/>
        </w:rPr>
        <w:t xml:space="preserve"> </w:t>
      </w:r>
      <w:r>
        <w:rPr>
          <w:rFonts w:ascii="Arial" w:eastAsia="Arial"/>
          <w:sz w:val="36"/>
        </w:rPr>
        <w:t>11.6-11.8</w:t>
      </w:r>
      <w:r>
        <w:rPr>
          <w:rFonts w:ascii="Arial" w:eastAsia="Arial"/>
          <w:sz w:val="36"/>
        </w:rPr>
        <w:tab/>
      </w:r>
      <w:r>
        <w:rPr>
          <w:sz w:val="36"/>
        </w:rPr>
        <w:t>条款，对未经批准超速、超重、超宽、超长、超高、以及</w:t>
      </w:r>
    </w:p>
    <w:p>
      <w:pPr>
        <w:spacing w:after="0" w:line="240" w:lineRule="auto"/>
        <w:jc w:val="left"/>
        <w:rPr>
          <w:sz w:val="36"/>
        </w:rPr>
        <w:sectPr>
          <w:pgSz w:w="19120" w:h="27060"/>
          <w:pgMar w:top="2020" w:right="1760" w:bottom="280" w:left="2760" w:header="720" w:footer="720" w:gutter="0"/>
        </w:sectPr>
      </w:pPr>
    </w:p>
    <w:p>
      <w:pPr>
        <w:pStyle w:val="2"/>
        <w:spacing w:before="20" w:line="364" w:lineRule="auto"/>
        <w:ind w:left="1640" w:right="1079"/>
      </w:pPr>
      <w:r>
        <w:t xml:space="preserve">开放车厢货物未紧固，厢式车无安全拦板，拦板未关的车辆，经发现给予每项一次罚款 </w:t>
      </w:r>
      <w:r>
        <w:rPr>
          <w:rFonts w:ascii="Arial" w:eastAsia="Arial"/>
        </w:rPr>
        <w:t xml:space="preserve">200-1000 </w:t>
      </w:r>
      <w:r>
        <w:t>元。</w:t>
      </w:r>
    </w:p>
    <w:p>
      <w:pPr>
        <w:pStyle w:val="6"/>
        <w:numPr>
          <w:ilvl w:val="2"/>
          <w:numId w:val="3"/>
        </w:numPr>
        <w:tabs>
          <w:tab w:val="left" w:pos="1621"/>
          <w:tab w:val="left" w:pos="11799"/>
        </w:tabs>
        <w:spacing w:before="0" w:after="0" w:line="419" w:lineRule="exact"/>
        <w:ind w:left="1621" w:right="0" w:hanging="541"/>
        <w:jc w:val="left"/>
        <w:rPr>
          <w:sz w:val="36"/>
        </w:rPr>
      </w:pPr>
      <w:r>
        <w:rPr>
          <w:sz w:val="36"/>
        </w:rPr>
        <w:t>对无证驾驶，或实习期独立驾驶的，经发现，给予一次罚款</w:t>
      </w:r>
      <w:r>
        <w:rPr>
          <w:sz w:val="36"/>
        </w:rPr>
        <w:tab/>
      </w:r>
      <w:r>
        <w:rPr>
          <w:rFonts w:ascii="Arial" w:eastAsia="Arial"/>
          <w:sz w:val="36"/>
        </w:rPr>
        <w:t>1000-5000</w:t>
      </w:r>
      <w:r>
        <w:rPr>
          <w:rFonts w:ascii="Arial" w:eastAsia="Arial"/>
          <w:spacing w:val="-5"/>
          <w:sz w:val="36"/>
        </w:rPr>
        <w:t xml:space="preserve"> </w:t>
      </w:r>
      <w:r>
        <w:rPr>
          <w:sz w:val="36"/>
        </w:rPr>
        <w:t>元，</w:t>
      </w:r>
    </w:p>
    <w:p>
      <w:pPr>
        <w:pStyle w:val="2"/>
        <w:tabs>
          <w:tab w:val="left" w:pos="9479"/>
        </w:tabs>
        <w:spacing w:before="218"/>
        <w:ind w:left="1640"/>
      </w:pPr>
      <w:r>
        <w:t>对未持证驾驶，经指正未改的，给予一次罚款</w:t>
      </w:r>
      <w:r>
        <w:tab/>
      </w:r>
      <w:r>
        <w:rPr>
          <w:rFonts w:ascii="Arial" w:eastAsia="Arial"/>
        </w:rPr>
        <w:t>100-500</w:t>
      </w:r>
      <w:r>
        <w:rPr>
          <w:rFonts w:ascii="Arial" w:eastAsia="Arial"/>
          <w:spacing w:val="18"/>
        </w:rPr>
        <w:t xml:space="preserve"> </w:t>
      </w:r>
      <w:r>
        <w:t>元；</w:t>
      </w:r>
    </w:p>
    <w:p>
      <w:pPr>
        <w:pStyle w:val="6"/>
        <w:numPr>
          <w:ilvl w:val="2"/>
          <w:numId w:val="3"/>
        </w:numPr>
        <w:tabs>
          <w:tab w:val="left" w:pos="1621"/>
          <w:tab w:val="left" w:pos="4459"/>
          <w:tab w:val="left" w:pos="5999"/>
        </w:tabs>
        <w:spacing w:before="219" w:after="0" w:line="348" w:lineRule="auto"/>
        <w:ind w:left="1640" w:right="759" w:hanging="560"/>
        <w:jc w:val="left"/>
        <w:rPr>
          <w:sz w:val="36"/>
        </w:rPr>
      </w:pPr>
      <w:r>
        <w:rPr>
          <w:sz w:val="36"/>
        </w:rPr>
        <w:t>对违章肇事造成甲方财物损坏的，根据损失情况将按责赔偿，并根据物损情况给予一次罚款</w:t>
      </w:r>
      <w:r>
        <w:rPr>
          <w:sz w:val="36"/>
        </w:rPr>
        <w:tab/>
      </w:r>
      <w:r>
        <w:rPr>
          <w:rFonts w:ascii="Arial" w:eastAsia="Arial"/>
          <w:sz w:val="36"/>
        </w:rPr>
        <w:t>1000-3000</w:t>
      </w:r>
      <w:r>
        <w:rPr>
          <w:rFonts w:ascii="Arial" w:eastAsia="Arial"/>
          <w:spacing w:val="-10"/>
          <w:sz w:val="36"/>
        </w:rPr>
        <w:t xml:space="preserve"> </w:t>
      </w:r>
      <w:r>
        <w:rPr>
          <w:sz w:val="36"/>
        </w:rPr>
        <w:t>元；事故性质特别严重的将根据实际情况给予处罚，单次最高罚款不超过</w:t>
      </w:r>
      <w:r>
        <w:rPr>
          <w:sz w:val="36"/>
        </w:rPr>
        <w:tab/>
      </w:r>
      <w:r>
        <w:rPr>
          <w:rFonts w:ascii="Arial" w:eastAsia="Arial"/>
          <w:sz w:val="36"/>
        </w:rPr>
        <w:t>10000</w:t>
      </w:r>
      <w:r>
        <w:rPr>
          <w:rFonts w:ascii="Arial" w:eastAsia="Arial"/>
          <w:spacing w:val="-42"/>
          <w:sz w:val="36"/>
        </w:rPr>
        <w:t xml:space="preserve"> </w:t>
      </w:r>
      <w:r>
        <w:rPr>
          <w:sz w:val="36"/>
        </w:rPr>
        <w:t>元。</w:t>
      </w:r>
    </w:p>
    <w:p>
      <w:pPr>
        <w:pStyle w:val="6"/>
        <w:numPr>
          <w:ilvl w:val="2"/>
          <w:numId w:val="3"/>
        </w:numPr>
        <w:tabs>
          <w:tab w:val="left" w:pos="1860"/>
          <w:tab w:val="right" w:pos="14360"/>
        </w:tabs>
        <w:spacing w:before="34" w:after="0" w:line="240" w:lineRule="auto"/>
        <w:ind w:left="1860" w:right="0" w:hanging="760"/>
        <w:jc w:val="left"/>
        <w:rPr>
          <w:rFonts w:ascii="Arial" w:eastAsia="Arial"/>
          <w:sz w:val="36"/>
        </w:rPr>
      </w:pPr>
      <w:r>
        <w:rPr>
          <w:sz w:val="36"/>
        </w:rPr>
        <w:t>对一次发现多起违章行为的，给予多项并罚，单次最高罚款不超过</w:t>
      </w:r>
      <w:r>
        <w:rPr>
          <w:sz w:val="36"/>
        </w:rPr>
        <w:tab/>
      </w:r>
      <w:r>
        <w:rPr>
          <w:rFonts w:ascii="Arial" w:eastAsia="Arial"/>
          <w:sz w:val="36"/>
        </w:rPr>
        <w:t>10000</w:t>
      </w:r>
    </w:p>
    <w:p>
      <w:pPr>
        <w:pStyle w:val="2"/>
        <w:spacing w:before="199"/>
        <w:ind w:left="900"/>
      </w:pPr>
      <w:r>
        <w:t>元，对不服从管理，被查出多次违章或严重违章，甲方有权终止经济合同。</w:t>
      </w:r>
    </w:p>
    <w:p>
      <w:pPr>
        <w:pStyle w:val="6"/>
        <w:numPr>
          <w:ilvl w:val="0"/>
          <w:numId w:val="3"/>
        </w:numPr>
        <w:tabs>
          <w:tab w:val="left" w:pos="1161"/>
        </w:tabs>
        <w:spacing w:before="218" w:after="0" w:line="343" w:lineRule="auto"/>
        <w:ind w:left="1260" w:right="1199" w:hanging="860"/>
        <w:jc w:val="left"/>
        <w:rPr>
          <w:sz w:val="36"/>
        </w:rPr>
      </w:pPr>
      <w:r>
        <w:rPr>
          <w:spacing w:val="-1"/>
          <w:sz w:val="36"/>
        </w:rPr>
        <w:t>本协议经甲乙双方签字、盖章有效，作为经济合同正本的附件。本协议一式四</w:t>
      </w:r>
      <w:r>
        <w:rPr>
          <w:sz w:val="36"/>
        </w:rPr>
        <w:t>份，甲方三份，乙方一份，分别送有关部门备案。</w:t>
      </w:r>
    </w:p>
    <w:p>
      <w:pPr>
        <w:pStyle w:val="6"/>
        <w:numPr>
          <w:ilvl w:val="0"/>
          <w:numId w:val="3"/>
        </w:numPr>
        <w:tabs>
          <w:tab w:val="left" w:pos="1180"/>
        </w:tabs>
        <w:spacing w:before="41" w:after="0" w:line="348" w:lineRule="auto"/>
        <w:ind w:left="1260" w:right="1099" w:hanging="860"/>
        <w:jc w:val="both"/>
        <w:rPr>
          <w:sz w:val="36"/>
        </w:rPr>
      </w:pPr>
      <w:r>
        <w:rPr>
          <w:sz w:val="36"/>
        </w:rPr>
        <w:t>协议同经济合同正本同日生效。甲乙双方贯彻先订合同后服务的原则，在服务</w:t>
      </w:r>
      <w:r>
        <w:rPr>
          <w:spacing w:val="-1"/>
          <w:sz w:val="36"/>
        </w:rPr>
        <w:t>前必须先签订本协议。违反本协议造成伤亡事故，由违约方承担一切经济损失</w:t>
      </w:r>
      <w:r>
        <w:rPr>
          <w:sz w:val="36"/>
        </w:rPr>
        <w:t>及责任。</w:t>
      </w:r>
    </w:p>
    <w:p>
      <w:pPr>
        <w:pStyle w:val="6"/>
        <w:numPr>
          <w:ilvl w:val="0"/>
          <w:numId w:val="3"/>
        </w:numPr>
        <w:tabs>
          <w:tab w:val="left" w:pos="980"/>
        </w:tabs>
        <w:spacing w:before="14" w:after="0" w:line="240" w:lineRule="auto"/>
        <w:ind w:left="980" w:right="0" w:hanging="580"/>
        <w:jc w:val="left"/>
        <w:rPr>
          <w:sz w:val="36"/>
        </w:rPr>
      </w:pPr>
      <w:r>
        <w:rPr>
          <w:sz w:val="36"/>
        </w:rPr>
        <w:t>其它未尽事宜：</w:t>
      </w:r>
    </w:p>
    <w:p>
      <w:pPr>
        <w:pStyle w:val="2"/>
        <w:rPr>
          <w:rFonts w:hint="eastAsia"/>
          <w:sz w:val="20"/>
          <w:lang w:eastAsia="zh-CN"/>
        </w:rPr>
      </w:pPr>
    </w:p>
    <w:p>
      <w:pPr>
        <w:pStyle w:val="2"/>
        <w:rPr>
          <w:rFonts w:hint="eastAsia"/>
          <w:color w:val="0000FF"/>
          <w:sz w:val="20"/>
          <w:lang w:eastAsia="zh-CN"/>
        </w:rPr>
      </w:pPr>
    </w:p>
    <w:p>
      <w:pPr>
        <w:pStyle w:val="2"/>
        <w:rPr>
          <w:rFonts w:hint="eastAsia"/>
          <w:color w:val="auto"/>
          <w:sz w:val="20"/>
          <w:u w:val="single"/>
          <w:lang w:val="en-US" w:eastAsia="zh-CN"/>
        </w:rPr>
      </w:pPr>
      <w:r>
        <w:rPr>
          <w:rFonts w:hint="eastAsia"/>
          <w:color w:val="0000FF"/>
          <w:sz w:val="20"/>
          <w:u w:val="single"/>
          <w:lang w:val="en-US" w:eastAsia="zh-CN"/>
        </w:rPr>
        <w:t xml:space="preserve">    </w:t>
      </w:r>
      <w:r>
        <w:rPr>
          <w:rFonts w:hint="eastAsia"/>
          <w:color w:val="auto"/>
          <w:sz w:val="20"/>
          <w:u w:val="single"/>
          <w:lang w:val="en-US" w:eastAsia="zh-CN"/>
        </w:rPr>
        <w:t xml:space="preserve">        </w:t>
      </w:r>
      <w:r>
        <w:rPr>
          <w:rFonts w:hint="eastAsia"/>
          <w:color w:val="auto"/>
          <w:sz w:val="20"/>
          <w:u w:val="single"/>
          <w:lang w:val="en-US" w:eastAsia="zh-CN"/>
        </w:rPr>
        <w:t xml:space="preserve">                                                                                                                                </w:t>
      </w:r>
    </w:p>
    <w:p>
      <w:pPr>
        <w:pStyle w:val="2"/>
        <w:rPr>
          <w:rFonts w:hint="eastAsia"/>
          <w:color w:val="auto"/>
          <w:sz w:val="20"/>
          <w:u w:val="single"/>
          <w:lang w:val="en-US" w:eastAsia="zh-CN"/>
        </w:rPr>
      </w:pPr>
    </w:p>
    <w:p>
      <w:pPr>
        <w:pStyle w:val="2"/>
        <w:rPr>
          <w:rFonts w:hint="eastAsia"/>
          <w:color w:val="auto"/>
          <w:sz w:val="20"/>
          <w:u w:val="single"/>
          <w:lang w:val="en-US" w:eastAsia="zh-CN"/>
        </w:rPr>
      </w:pPr>
    </w:p>
    <w:p>
      <w:pPr>
        <w:pStyle w:val="2"/>
        <w:rPr>
          <w:rFonts w:hint="default"/>
          <w:color w:val="auto"/>
          <w:sz w:val="20"/>
          <w:u w:val="single"/>
          <w:lang w:val="en-US" w:eastAsia="zh-CN"/>
        </w:rPr>
      </w:pPr>
      <w:r>
        <w:rPr>
          <w:rFonts w:hint="eastAsia"/>
          <w:color w:val="auto"/>
          <w:sz w:val="20"/>
          <w:u w:val="single"/>
          <w:lang w:val="en-US" w:eastAsia="zh-CN"/>
        </w:rPr>
        <w:t xml:space="preserve">                                                                                                                                            </w:t>
      </w:r>
    </w:p>
    <w:p>
      <w:pPr>
        <w:pStyle w:val="2"/>
        <w:rPr>
          <w:rFonts w:hint="eastAsia"/>
          <w:color w:val="auto"/>
          <w:sz w:val="20"/>
          <w:u w:val="single"/>
          <w:lang w:val="en-US" w:eastAsia="zh-CN"/>
        </w:rPr>
      </w:pPr>
    </w:p>
    <w:p>
      <w:pPr>
        <w:pStyle w:val="2"/>
        <w:rPr>
          <w:rFonts w:hint="eastAsia"/>
          <w:color w:val="auto"/>
          <w:sz w:val="20"/>
          <w:u w:val="single"/>
          <w:lang w:val="en-US" w:eastAsia="zh-CN"/>
        </w:rPr>
      </w:pPr>
    </w:p>
    <w:p>
      <w:pPr>
        <w:pStyle w:val="2"/>
        <w:rPr>
          <w:rFonts w:hint="default"/>
          <w:color w:val="auto"/>
          <w:sz w:val="20"/>
          <w:lang w:val="en-US" w:eastAsia="zh-CN"/>
        </w:rPr>
      </w:pPr>
      <w:r>
        <w:rPr>
          <w:rFonts w:hint="eastAsia"/>
          <w:color w:val="auto"/>
          <w:sz w:val="20"/>
          <w:u w:val="single"/>
          <w:lang w:val="en-US" w:eastAsia="zh-CN"/>
        </w:rPr>
        <w:t xml:space="preserve">                                                                                                                                            </w:t>
      </w:r>
    </w:p>
    <w:p>
      <w:pPr>
        <w:pStyle w:val="2"/>
        <w:rPr>
          <w:rFonts w:hint="eastAsia"/>
          <w:color w:val="auto"/>
          <w:sz w:val="20"/>
          <w:lang w:eastAsia="zh-CN"/>
        </w:rPr>
      </w:pPr>
    </w:p>
    <w:p>
      <w:pPr>
        <w:pStyle w:val="2"/>
        <w:rPr>
          <w:rFonts w:hint="eastAsia"/>
          <w:color w:val="auto"/>
          <w:sz w:val="20"/>
          <w:lang w:eastAsia="zh-CN"/>
        </w:rPr>
      </w:pPr>
    </w:p>
    <w:p>
      <w:pPr>
        <w:pStyle w:val="2"/>
        <w:rPr>
          <w:rFonts w:hint="default"/>
          <w:color w:val="auto"/>
          <w:sz w:val="20"/>
          <w:lang w:val="en-US" w:eastAsia="zh-CN"/>
        </w:rPr>
      </w:pPr>
      <w:r>
        <w:rPr>
          <w:rFonts w:hint="eastAsia"/>
          <w:color w:val="auto"/>
          <w:sz w:val="20"/>
          <w:u w:val="single"/>
          <w:lang w:val="en-US" w:eastAsia="zh-CN"/>
        </w:rPr>
        <w:t xml:space="preserve">                                                                                                                                            </w:t>
      </w:r>
    </w:p>
    <w:p>
      <w:pPr>
        <w:pStyle w:val="2"/>
        <w:rPr>
          <w:color w:val="auto"/>
          <w:sz w:val="20"/>
        </w:rPr>
      </w:pPr>
    </w:p>
    <w:p>
      <w:pPr>
        <w:pStyle w:val="2"/>
        <w:rPr>
          <w:color w:val="0000FF"/>
          <w:sz w:val="20"/>
        </w:rPr>
      </w:pPr>
    </w:p>
    <w:p>
      <w:pPr>
        <w:pStyle w:val="2"/>
        <w:rPr>
          <w:color w:val="0000FF"/>
          <w:sz w:val="20"/>
        </w:rPr>
      </w:pPr>
    </w:p>
    <w:p>
      <w:pPr>
        <w:pStyle w:val="2"/>
        <w:rPr>
          <w:color w:val="0000FF"/>
          <w:sz w:val="20"/>
        </w:rPr>
      </w:pPr>
    </w:p>
    <w:p>
      <w:pPr>
        <w:pStyle w:val="2"/>
        <w:rPr>
          <w:color w:val="0000FF"/>
          <w:sz w:val="20"/>
        </w:rPr>
      </w:pPr>
    </w:p>
    <w:tbl>
      <w:tblPr>
        <w:tblStyle w:val="3"/>
        <w:tblpPr w:leftFromText="180" w:rightFromText="180" w:vertAnchor="text" w:horzAnchor="page" w:tblpX="4086" w:tblpY="246"/>
        <w:tblOverlap w:val="never"/>
        <w:tblW w:w="114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320"/>
        <w:gridCol w:w="2410"/>
        <w:gridCol w:w="5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1" w:hRule="atLeast"/>
        </w:trPr>
        <w:tc>
          <w:tcPr>
            <w:tcW w:w="3320" w:type="dxa"/>
          </w:tcPr>
          <w:p>
            <w:pPr>
              <w:pStyle w:val="7"/>
              <w:spacing w:line="427" w:lineRule="exact"/>
              <w:ind w:left="50"/>
              <w:rPr>
                <w:sz w:val="36"/>
              </w:rPr>
            </w:pPr>
            <w:r>
              <w:rPr>
                <w:sz w:val="36"/>
              </w:rPr>
              <w:t>位盖章：</w:t>
            </w:r>
          </w:p>
        </w:tc>
        <w:tc>
          <w:tcPr>
            <w:tcW w:w="2410" w:type="dxa"/>
          </w:tcPr>
          <w:p>
            <w:pPr>
              <w:pStyle w:val="7"/>
              <w:rPr>
                <w:rFonts w:ascii="Times New Roman"/>
                <w:sz w:val="36"/>
              </w:rPr>
            </w:pPr>
          </w:p>
        </w:tc>
        <w:tc>
          <w:tcPr>
            <w:tcW w:w="5730" w:type="dxa"/>
          </w:tcPr>
          <w:p>
            <w:pPr>
              <w:pStyle w:val="7"/>
              <w:spacing w:line="427" w:lineRule="exact"/>
              <w:ind w:left="1660"/>
              <w:rPr>
                <w:rFonts w:ascii="Arial" w:eastAsia="Arial"/>
                <w:sz w:val="36"/>
              </w:rPr>
            </w:pPr>
            <w:r>
              <w:rPr>
                <w:sz w:val="36"/>
              </w:rPr>
              <w:t xml:space="preserve">乙方单位盖章 </w:t>
            </w:r>
            <w:r>
              <w:rPr>
                <w:rFonts w:ascii="Arial" w:eastAsia="Arial"/>
                <w:sz w:val="36"/>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30" w:hRule="atLeast"/>
        </w:trPr>
        <w:tc>
          <w:tcPr>
            <w:tcW w:w="3320" w:type="dxa"/>
          </w:tcPr>
          <w:p>
            <w:pPr>
              <w:pStyle w:val="7"/>
              <w:spacing w:before="1"/>
              <w:rPr>
                <w:sz w:val="33"/>
              </w:rPr>
            </w:pPr>
          </w:p>
          <w:p>
            <w:pPr>
              <w:pStyle w:val="7"/>
              <w:spacing w:line="352" w:lineRule="auto"/>
              <w:ind w:left="50" w:right="389"/>
              <w:rPr>
                <w:rFonts w:ascii="Arial" w:eastAsia="Arial"/>
                <w:sz w:val="36"/>
              </w:rPr>
            </w:pPr>
            <w:r>
              <w:rPr>
                <w:sz w:val="36"/>
              </w:rPr>
              <w:t xml:space="preserve">甲方代表人签字： 单位地址 </w:t>
            </w:r>
            <w:r>
              <w:rPr>
                <w:rFonts w:ascii="Arial" w:eastAsia="Arial"/>
                <w:sz w:val="36"/>
              </w:rPr>
              <w:t>:</w:t>
            </w:r>
          </w:p>
          <w:p>
            <w:pPr>
              <w:pStyle w:val="7"/>
              <w:spacing w:before="4"/>
              <w:ind w:left="130"/>
              <w:rPr>
                <w:rFonts w:ascii="Arial" w:eastAsia="Arial"/>
                <w:sz w:val="36"/>
              </w:rPr>
            </w:pPr>
            <w:r>
              <w:rPr>
                <w:sz w:val="36"/>
              </w:rPr>
              <w:t xml:space="preserve">联系电话 </w:t>
            </w:r>
            <w:r>
              <w:rPr>
                <w:rFonts w:ascii="Arial" w:eastAsia="Arial"/>
                <w:sz w:val="36"/>
              </w:rPr>
              <w:t>:</w:t>
            </w:r>
          </w:p>
        </w:tc>
        <w:tc>
          <w:tcPr>
            <w:tcW w:w="2410" w:type="dxa"/>
          </w:tcPr>
          <w:p>
            <w:pPr>
              <w:pStyle w:val="7"/>
              <w:rPr>
                <w:rFonts w:ascii="Times New Roman"/>
                <w:sz w:val="36"/>
              </w:rPr>
            </w:pPr>
          </w:p>
        </w:tc>
        <w:tc>
          <w:tcPr>
            <w:tcW w:w="5730" w:type="dxa"/>
          </w:tcPr>
          <w:p>
            <w:pPr>
              <w:pStyle w:val="7"/>
              <w:spacing w:before="1"/>
              <w:rPr>
                <w:sz w:val="33"/>
              </w:rPr>
            </w:pPr>
          </w:p>
          <w:p>
            <w:pPr>
              <w:pStyle w:val="7"/>
              <w:spacing w:line="352" w:lineRule="auto"/>
              <w:ind w:left="1660" w:right="1189"/>
              <w:rPr>
                <w:rFonts w:ascii="Arial" w:eastAsia="Arial"/>
                <w:sz w:val="36"/>
              </w:rPr>
            </w:pPr>
            <w:r>
              <w:rPr>
                <w:sz w:val="36"/>
              </w:rPr>
              <w:t xml:space="preserve">乙方代表人签字： 单位地址 </w:t>
            </w:r>
            <w:r>
              <w:rPr>
                <w:rFonts w:ascii="Arial" w:eastAsia="Arial"/>
                <w:sz w:val="36"/>
              </w:rPr>
              <w:t>:</w:t>
            </w:r>
          </w:p>
          <w:p>
            <w:pPr>
              <w:pStyle w:val="7"/>
              <w:spacing w:before="4"/>
              <w:ind w:left="1740"/>
              <w:rPr>
                <w:rFonts w:ascii="Arial" w:eastAsia="Arial"/>
                <w:sz w:val="36"/>
              </w:rPr>
            </w:pPr>
            <w:r>
              <w:rPr>
                <w:sz w:val="36"/>
              </w:rPr>
              <w:t xml:space="preserve">联系电话 </w:t>
            </w:r>
            <w:r>
              <w:rPr>
                <w:rFonts w:ascii="Arial" w:eastAsia="Arial"/>
                <w:sz w:val="36"/>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5" w:hRule="atLeast"/>
        </w:trPr>
        <w:tc>
          <w:tcPr>
            <w:tcW w:w="3320" w:type="dxa"/>
          </w:tcPr>
          <w:p>
            <w:pPr>
              <w:pStyle w:val="7"/>
              <w:tabs>
                <w:tab w:val="left" w:pos="2549"/>
              </w:tabs>
              <w:spacing w:before="334" w:line="441" w:lineRule="exact"/>
              <w:ind w:left="1410"/>
              <w:rPr>
                <w:sz w:val="36"/>
              </w:rPr>
            </w:pPr>
            <w:r>
              <w:rPr>
                <w:sz w:val="36"/>
              </w:rPr>
              <w:t>年</w:t>
            </w:r>
            <w:r>
              <w:rPr>
                <w:sz w:val="36"/>
              </w:rPr>
              <w:tab/>
            </w:r>
            <w:r>
              <w:rPr>
                <w:sz w:val="36"/>
              </w:rPr>
              <w:t>月</w:t>
            </w:r>
          </w:p>
        </w:tc>
        <w:tc>
          <w:tcPr>
            <w:tcW w:w="2410" w:type="dxa"/>
          </w:tcPr>
          <w:p>
            <w:pPr>
              <w:pStyle w:val="7"/>
              <w:spacing w:before="334" w:line="441" w:lineRule="exact"/>
              <w:ind w:left="390"/>
              <w:rPr>
                <w:sz w:val="36"/>
              </w:rPr>
            </w:pPr>
            <w:r>
              <w:rPr>
                <w:sz w:val="36"/>
              </w:rPr>
              <w:t>日</w:t>
            </w:r>
          </w:p>
        </w:tc>
        <w:tc>
          <w:tcPr>
            <w:tcW w:w="5730" w:type="dxa"/>
          </w:tcPr>
          <w:p>
            <w:pPr>
              <w:pStyle w:val="7"/>
              <w:tabs>
                <w:tab w:val="left" w:pos="4159"/>
                <w:tab w:val="left" w:pos="5319"/>
              </w:tabs>
              <w:spacing w:before="334" w:line="441" w:lineRule="exact"/>
              <w:ind w:left="3000"/>
              <w:rPr>
                <w:sz w:val="36"/>
              </w:rPr>
            </w:pPr>
            <w:r>
              <w:rPr>
                <w:sz w:val="36"/>
              </w:rPr>
              <w:t>年</w:t>
            </w:r>
            <w:r>
              <w:rPr>
                <w:sz w:val="36"/>
              </w:rPr>
              <w:tab/>
            </w:r>
            <w:r>
              <w:rPr>
                <w:sz w:val="36"/>
              </w:rPr>
              <w:t>月</w:t>
            </w:r>
            <w:r>
              <w:rPr>
                <w:sz w:val="36"/>
              </w:rPr>
              <w:tab/>
            </w:r>
            <w:r>
              <w:rPr>
                <w:sz w:val="36"/>
              </w:rPr>
              <w:t>日</w:t>
            </w:r>
          </w:p>
        </w:tc>
      </w:tr>
    </w:tbl>
    <w:p>
      <w:pPr>
        <w:pStyle w:val="2"/>
        <w:rPr>
          <w:color w:val="0000FF"/>
          <w:sz w:val="20"/>
        </w:rPr>
      </w:pPr>
    </w:p>
    <w:p>
      <w:pPr>
        <w:pStyle w:val="2"/>
        <w:rPr>
          <w:color w:val="0000FF"/>
          <w:sz w:val="20"/>
        </w:rPr>
      </w:pPr>
    </w:p>
    <w:p>
      <w:pPr>
        <w:pStyle w:val="2"/>
        <w:rPr>
          <w:color w:val="0000FF"/>
          <w:sz w:val="20"/>
        </w:rPr>
      </w:pPr>
    </w:p>
    <w:p>
      <w:pPr>
        <w:pStyle w:val="2"/>
        <w:rPr>
          <w:color w:val="0000FF"/>
          <w:sz w:val="20"/>
        </w:rPr>
      </w:pPr>
    </w:p>
    <w:p>
      <w:pPr>
        <w:pStyle w:val="2"/>
        <w:rPr>
          <w:color w:val="0000FF"/>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sectPr>
      <w:pgSz w:w="19120" w:h="27060"/>
      <w:pgMar w:top="2020" w:right="1760" w:bottom="280" w:left="276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11"/>
      <w:numFmt w:val="decimal"/>
      <w:lvlText w:val="%1"/>
      <w:lvlJc w:val="left"/>
      <w:pPr>
        <w:ind w:left="1400" w:hanging="960"/>
        <w:jc w:val="left"/>
      </w:pPr>
      <w:rPr>
        <w:rFonts w:hint="default"/>
        <w:lang w:val="zh-CN" w:eastAsia="zh-CN" w:bidi="zh-CN"/>
      </w:rPr>
    </w:lvl>
    <w:lvl w:ilvl="1" w:tentative="0">
      <w:start w:val="1"/>
      <w:numFmt w:val="decimal"/>
      <w:lvlText w:val="%1.%2"/>
      <w:lvlJc w:val="left"/>
      <w:pPr>
        <w:ind w:left="1400" w:hanging="960"/>
        <w:jc w:val="left"/>
      </w:pPr>
      <w:rPr>
        <w:rFonts w:hint="default" w:ascii="Arial" w:hAnsi="Arial" w:eastAsia="Arial" w:cs="Arial"/>
        <w:spacing w:val="-1"/>
        <w:w w:val="100"/>
        <w:sz w:val="36"/>
        <w:szCs w:val="36"/>
        <w:lang w:val="zh-CN" w:eastAsia="zh-CN" w:bidi="zh-CN"/>
      </w:rPr>
    </w:lvl>
    <w:lvl w:ilvl="2" w:tentative="0">
      <w:start w:val="0"/>
      <w:numFmt w:val="bullet"/>
      <w:lvlText w:val="•"/>
      <w:lvlJc w:val="left"/>
      <w:pPr>
        <w:ind w:left="4040" w:hanging="960"/>
      </w:pPr>
      <w:rPr>
        <w:rFonts w:hint="default"/>
        <w:lang w:val="zh-CN" w:eastAsia="zh-CN" w:bidi="zh-CN"/>
      </w:rPr>
    </w:lvl>
    <w:lvl w:ilvl="3" w:tentative="0">
      <w:start w:val="0"/>
      <w:numFmt w:val="bullet"/>
      <w:lvlText w:val="•"/>
      <w:lvlJc w:val="left"/>
      <w:pPr>
        <w:ind w:left="5360" w:hanging="960"/>
      </w:pPr>
      <w:rPr>
        <w:rFonts w:hint="default"/>
        <w:lang w:val="zh-CN" w:eastAsia="zh-CN" w:bidi="zh-CN"/>
      </w:rPr>
    </w:lvl>
    <w:lvl w:ilvl="4" w:tentative="0">
      <w:start w:val="0"/>
      <w:numFmt w:val="bullet"/>
      <w:lvlText w:val="•"/>
      <w:lvlJc w:val="left"/>
      <w:pPr>
        <w:ind w:left="6680" w:hanging="960"/>
      </w:pPr>
      <w:rPr>
        <w:rFonts w:hint="default"/>
        <w:lang w:val="zh-CN" w:eastAsia="zh-CN" w:bidi="zh-CN"/>
      </w:rPr>
    </w:lvl>
    <w:lvl w:ilvl="5" w:tentative="0">
      <w:start w:val="0"/>
      <w:numFmt w:val="bullet"/>
      <w:lvlText w:val="•"/>
      <w:lvlJc w:val="left"/>
      <w:pPr>
        <w:ind w:left="8000" w:hanging="960"/>
      </w:pPr>
      <w:rPr>
        <w:rFonts w:hint="default"/>
        <w:lang w:val="zh-CN" w:eastAsia="zh-CN" w:bidi="zh-CN"/>
      </w:rPr>
    </w:lvl>
    <w:lvl w:ilvl="6" w:tentative="0">
      <w:start w:val="0"/>
      <w:numFmt w:val="bullet"/>
      <w:lvlText w:val="•"/>
      <w:lvlJc w:val="left"/>
      <w:pPr>
        <w:ind w:left="9320" w:hanging="960"/>
      </w:pPr>
      <w:rPr>
        <w:rFonts w:hint="default"/>
        <w:lang w:val="zh-CN" w:eastAsia="zh-CN" w:bidi="zh-CN"/>
      </w:rPr>
    </w:lvl>
    <w:lvl w:ilvl="7" w:tentative="0">
      <w:start w:val="0"/>
      <w:numFmt w:val="bullet"/>
      <w:lvlText w:val="•"/>
      <w:lvlJc w:val="left"/>
      <w:pPr>
        <w:ind w:left="10640" w:hanging="960"/>
      </w:pPr>
      <w:rPr>
        <w:rFonts w:hint="default"/>
        <w:lang w:val="zh-CN" w:eastAsia="zh-CN" w:bidi="zh-CN"/>
      </w:rPr>
    </w:lvl>
    <w:lvl w:ilvl="8" w:tentative="0">
      <w:start w:val="0"/>
      <w:numFmt w:val="bullet"/>
      <w:lvlText w:val="•"/>
      <w:lvlJc w:val="left"/>
      <w:pPr>
        <w:ind w:left="11960" w:hanging="960"/>
      </w:pPr>
      <w:rPr>
        <w:rFonts w:hint="default"/>
        <w:lang w:val="zh-CN" w:eastAsia="zh-CN" w:bidi="zh-CN"/>
      </w:rPr>
    </w:lvl>
  </w:abstractNum>
  <w:abstractNum w:abstractNumId="1">
    <w:nsid w:val="0053208E"/>
    <w:multiLevelType w:val="multilevel"/>
    <w:tmpl w:val="0053208E"/>
    <w:lvl w:ilvl="0" w:tentative="0">
      <w:start w:val="1"/>
      <w:numFmt w:val="decimal"/>
      <w:lvlText w:val="%1"/>
      <w:lvlJc w:val="left"/>
      <w:pPr>
        <w:ind w:left="680" w:hanging="380"/>
        <w:jc w:val="left"/>
      </w:pPr>
      <w:rPr>
        <w:rFonts w:hint="default" w:ascii="Arial" w:hAnsi="Arial" w:eastAsia="Arial" w:cs="Arial"/>
        <w:spacing w:val="-21"/>
        <w:w w:val="100"/>
        <w:sz w:val="36"/>
        <w:szCs w:val="36"/>
        <w:lang w:val="zh-CN" w:eastAsia="zh-CN" w:bidi="zh-CN"/>
      </w:rPr>
    </w:lvl>
    <w:lvl w:ilvl="1" w:tentative="0">
      <w:start w:val="1"/>
      <w:numFmt w:val="decimal"/>
      <w:lvlText w:val="%2."/>
      <w:lvlJc w:val="left"/>
      <w:pPr>
        <w:ind w:left="1100" w:hanging="660"/>
        <w:jc w:val="left"/>
      </w:pPr>
      <w:rPr>
        <w:rFonts w:hint="default" w:ascii="Arial" w:hAnsi="Arial" w:eastAsia="Arial" w:cs="Arial"/>
        <w:spacing w:val="-1"/>
        <w:w w:val="100"/>
        <w:sz w:val="36"/>
        <w:szCs w:val="36"/>
        <w:lang w:val="zh-CN" w:eastAsia="zh-CN" w:bidi="zh-CN"/>
      </w:rPr>
    </w:lvl>
    <w:lvl w:ilvl="2" w:tentative="0">
      <w:start w:val="0"/>
      <w:numFmt w:val="bullet"/>
      <w:lvlText w:val="•"/>
      <w:lvlJc w:val="left"/>
      <w:pPr>
        <w:ind w:left="2600" w:hanging="660"/>
      </w:pPr>
      <w:rPr>
        <w:rFonts w:hint="default"/>
        <w:lang w:val="zh-CN" w:eastAsia="zh-CN" w:bidi="zh-CN"/>
      </w:rPr>
    </w:lvl>
    <w:lvl w:ilvl="3" w:tentative="0">
      <w:start w:val="0"/>
      <w:numFmt w:val="bullet"/>
      <w:lvlText w:val="•"/>
      <w:lvlJc w:val="left"/>
      <w:pPr>
        <w:ind w:left="4100" w:hanging="660"/>
      </w:pPr>
      <w:rPr>
        <w:rFonts w:hint="default"/>
        <w:lang w:val="zh-CN" w:eastAsia="zh-CN" w:bidi="zh-CN"/>
      </w:rPr>
    </w:lvl>
    <w:lvl w:ilvl="4" w:tentative="0">
      <w:start w:val="0"/>
      <w:numFmt w:val="bullet"/>
      <w:lvlText w:val="•"/>
      <w:lvlJc w:val="left"/>
      <w:pPr>
        <w:ind w:left="5600" w:hanging="660"/>
      </w:pPr>
      <w:rPr>
        <w:rFonts w:hint="default"/>
        <w:lang w:val="zh-CN" w:eastAsia="zh-CN" w:bidi="zh-CN"/>
      </w:rPr>
    </w:lvl>
    <w:lvl w:ilvl="5" w:tentative="0">
      <w:start w:val="0"/>
      <w:numFmt w:val="bullet"/>
      <w:lvlText w:val="•"/>
      <w:lvlJc w:val="left"/>
      <w:pPr>
        <w:ind w:left="7100" w:hanging="660"/>
      </w:pPr>
      <w:rPr>
        <w:rFonts w:hint="default"/>
        <w:lang w:val="zh-CN" w:eastAsia="zh-CN" w:bidi="zh-CN"/>
      </w:rPr>
    </w:lvl>
    <w:lvl w:ilvl="6" w:tentative="0">
      <w:start w:val="0"/>
      <w:numFmt w:val="bullet"/>
      <w:lvlText w:val="•"/>
      <w:lvlJc w:val="left"/>
      <w:pPr>
        <w:ind w:left="8600" w:hanging="660"/>
      </w:pPr>
      <w:rPr>
        <w:rFonts w:hint="default"/>
        <w:lang w:val="zh-CN" w:eastAsia="zh-CN" w:bidi="zh-CN"/>
      </w:rPr>
    </w:lvl>
    <w:lvl w:ilvl="7" w:tentative="0">
      <w:start w:val="0"/>
      <w:numFmt w:val="bullet"/>
      <w:lvlText w:val="•"/>
      <w:lvlJc w:val="left"/>
      <w:pPr>
        <w:ind w:left="10100" w:hanging="660"/>
      </w:pPr>
      <w:rPr>
        <w:rFonts w:hint="default"/>
        <w:lang w:val="zh-CN" w:eastAsia="zh-CN" w:bidi="zh-CN"/>
      </w:rPr>
    </w:lvl>
    <w:lvl w:ilvl="8" w:tentative="0">
      <w:start w:val="0"/>
      <w:numFmt w:val="bullet"/>
      <w:lvlText w:val="•"/>
      <w:lvlJc w:val="left"/>
      <w:pPr>
        <w:ind w:left="11600" w:hanging="660"/>
      </w:pPr>
      <w:rPr>
        <w:rFonts w:hint="default"/>
        <w:lang w:val="zh-CN" w:eastAsia="zh-CN" w:bidi="zh-CN"/>
      </w:rPr>
    </w:lvl>
  </w:abstractNum>
  <w:abstractNum w:abstractNumId="2">
    <w:nsid w:val="59ADCABA"/>
    <w:multiLevelType w:val="multilevel"/>
    <w:tmpl w:val="59ADCABA"/>
    <w:lvl w:ilvl="0" w:tentative="0">
      <w:start w:val="12"/>
      <w:numFmt w:val="decimal"/>
      <w:lvlText w:val="%1."/>
      <w:lvlJc w:val="left"/>
      <w:pPr>
        <w:ind w:left="1201" w:hanging="761"/>
        <w:jc w:val="left"/>
      </w:pPr>
      <w:rPr>
        <w:rFonts w:hint="default" w:ascii="Arial" w:hAnsi="Arial" w:eastAsia="Arial" w:cs="Arial"/>
        <w:spacing w:val="-1"/>
        <w:w w:val="100"/>
        <w:sz w:val="34"/>
        <w:szCs w:val="34"/>
        <w:lang w:val="zh-CN" w:eastAsia="zh-CN" w:bidi="zh-CN"/>
      </w:rPr>
    </w:lvl>
    <w:lvl w:ilvl="1" w:tentative="0">
      <w:start w:val="1"/>
      <w:numFmt w:val="decimal"/>
      <w:lvlText w:val="%1.%2"/>
      <w:lvlJc w:val="left"/>
      <w:pPr>
        <w:ind w:left="1020" w:hanging="780"/>
        <w:jc w:val="left"/>
      </w:pPr>
      <w:rPr>
        <w:rFonts w:hint="default" w:ascii="Arial" w:hAnsi="Arial" w:eastAsia="Arial" w:cs="Arial"/>
        <w:spacing w:val="-1"/>
        <w:w w:val="100"/>
        <w:sz w:val="36"/>
        <w:szCs w:val="36"/>
        <w:lang w:val="zh-CN" w:eastAsia="zh-CN" w:bidi="zh-CN"/>
      </w:rPr>
    </w:lvl>
    <w:lvl w:ilvl="2" w:tentative="0">
      <w:start w:val="1"/>
      <w:numFmt w:val="decimal"/>
      <w:lvlText w:val="%3）"/>
      <w:lvlJc w:val="left"/>
      <w:pPr>
        <w:ind w:left="1621" w:hanging="541"/>
        <w:jc w:val="left"/>
      </w:pPr>
      <w:rPr>
        <w:rFonts w:hint="default" w:ascii="Arial" w:hAnsi="Arial" w:eastAsia="Arial" w:cs="Arial"/>
        <w:spacing w:val="-21"/>
        <w:w w:val="100"/>
        <w:sz w:val="34"/>
        <w:szCs w:val="34"/>
        <w:lang w:val="zh-CN" w:eastAsia="zh-CN" w:bidi="zh-CN"/>
      </w:rPr>
    </w:lvl>
    <w:lvl w:ilvl="3" w:tentative="0">
      <w:start w:val="0"/>
      <w:numFmt w:val="bullet"/>
      <w:lvlText w:val="•"/>
      <w:lvlJc w:val="left"/>
      <w:pPr>
        <w:ind w:left="3242" w:hanging="541"/>
      </w:pPr>
      <w:rPr>
        <w:rFonts w:hint="default"/>
        <w:lang w:val="zh-CN" w:eastAsia="zh-CN" w:bidi="zh-CN"/>
      </w:rPr>
    </w:lvl>
    <w:lvl w:ilvl="4" w:tentative="0">
      <w:start w:val="0"/>
      <w:numFmt w:val="bullet"/>
      <w:lvlText w:val="•"/>
      <w:lvlJc w:val="left"/>
      <w:pPr>
        <w:ind w:left="4865" w:hanging="541"/>
      </w:pPr>
      <w:rPr>
        <w:rFonts w:hint="default"/>
        <w:lang w:val="zh-CN" w:eastAsia="zh-CN" w:bidi="zh-CN"/>
      </w:rPr>
    </w:lvl>
    <w:lvl w:ilvl="5" w:tentative="0">
      <w:start w:val="0"/>
      <w:numFmt w:val="bullet"/>
      <w:lvlText w:val="•"/>
      <w:lvlJc w:val="left"/>
      <w:pPr>
        <w:ind w:left="6487" w:hanging="541"/>
      </w:pPr>
      <w:rPr>
        <w:rFonts w:hint="default"/>
        <w:lang w:val="zh-CN" w:eastAsia="zh-CN" w:bidi="zh-CN"/>
      </w:rPr>
    </w:lvl>
    <w:lvl w:ilvl="6" w:tentative="0">
      <w:start w:val="0"/>
      <w:numFmt w:val="bullet"/>
      <w:lvlText w:val="•"/>
      <w:lvlJc w:val="left"/>
      <w:pPr>
        <w:ind w:left="8110" w:hanging="541"/>
      </w:pPr>
      <w:rPr>
        <w:rFonts w:hint="default"/>
        <w:lang w:val="zh-CN" w:eastAsia="zh-CN" w:bidi="zh-CN"/>
      </w:rPr>
    </w:lvl>
    <w:lvl w:ilvl="7" w:tentative="0">
      <w:start w:val="0"/>
      <w:numFmt w:val="bullet"/>
      <w:lvlText w:val="•"/>
      <w:lvlJc w:val="left"/>
      <w:pPr>
        <w:ind w:left="9732" w:hanging="541"/>
      </w:pPr>
      <w:rPr>
        <w:rFonts w:hint="default"/>
        <w:lang w:val="zh-CN" w:eastAsia="zh-CN" w:bidi="zh-CN"/>
      </w:rPr>
    </w:lvl>
    <w:lvl w:ilvl="8" w:tentative="0">
      <w:start w:val="0"/>
      <w:numFmt w:val="bullet"/>
      <w:lvlText w:val="•"/>
      <w:lvlJc w:val="left"/>
      <w:pPr>
        <w:ind w:left="11355" w:hanging="541"/>
      </w:pPr>
      <w:rPr>
        <w:rFonts w:hint="default"/>
        <w:lang w:val="zh-CN" w:eastAsia="zh-CN" w:bidi="zh-C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642E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4">
    <w:name w:val="Default Paragraph Font"/>
    <w:semiHidden/>
    <w:unhideWhenUsed/>
    <w:qFormat/>
    <w:uiPriority w:val="1"/>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6"/>
      <w:szCs w:val="36"/>
      <w:lang w:val="zh-CN" w:eastAsia="zh-CN" w:bidi="zh-CN"/>
    </w:rPr>
  </w:style>
  <w:style w:type="table" w:customStyle="1" w:styleId="5">
    <w:name w:val="Table Normal"/>
    <w:semiHidden/>
    <w:unhideWhenUsed/>
    <w:qFormat/>
    <w:uiPriority w:val="2"/>
    <w:tblPr>
      <w:tblCellMar>
        <w:top w:w="0" w:type="dxa"/>
        <w:left w:w="0" w:type="dxa"/>
        <w:bottom w:w="0" w:type="dxa"/>
        <w:right w:w="0" w:type="dxa"/>
      </w:tblCellMar>
    </w:tblPr>
  </w:style>
  <w:style w:type="paragraph" w:styleId="6">
    <w:name w:val="List Paragraph"/>
    <w:basedOn w:val="1"/>
    <w:qFormat/>
    <w:uiPriority w:val="1"/>
    <w:pPr>
      <w:ind w:left="1100" w:hanging="660"/>
    </w:pPr>
    <w:rPr>
      <w:rFonts w:ascii="宋体" w:hAnsi="宋体" w:eastAsia="宋体" w:cs="宋体"/>
      <w:lang w:val="zh-CN" w:eastAsia="zh-CN" w:bidi="zh-CN"/>
    </w:r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2020-09-18T09:21:00Z</dcterms:created>
  <dc:creator>bingdian001.com</dc:creator>
  <cp:keywords>bingdian001.com</cp:keywords>
  <cp:lastModifiedBy>一心报国</cp:lastModifiedBy>
  <dcterms:modified xsi:type="dcterms:W3CDTF">2020-09-18T09:25:30Z</dcterms:modified>
  <dc:subject>bingdian001.com</dc:subject>
  <dc:title>bingdian001.com</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2020-09-18T00:00:00Z</vt:filetime>
  </property>
  <property fmtid="{D5CDD505-2E9C-101B-9397-08002B2CF9AE}" pid="3" name="Creator">
    <vt:lpwstr>bingdian001.com</vt:lpwstr>
  </property>
  <property fmtid="{D5CDD505-2E9C-101B-9397-08002B2CF9AE}" pid="4" name="LastSaved">
    <vt:filetime>2020-09-18T00:00:00Z</vt:filetime>
  </property>
  <property fmtid="{D5CDD505-2E9C-101B-9397-08002B2CF9AE}" pid="5" name="KSOProductBuildVer">
    <vt:lpwstr>2052-11.1.0.10000</vt:lpwstr>
  </property>
</Properties>
</file>